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 w:after="160"/>
      </w:pPr>
      <w:r>
        <w:rPr>
          <w:rFonts w:ascii="맑은 고딕" w:hAnsi="맑은 고딕" w:eastAsia="맑은 고딕"/>
          <w:b/>
          <w:color w:val="2E74B5"/>
          <w:sz w:val="19"/>
        </w:rPr>
        <w:t>AX HUB · TOOL DEVELOPMENT STANDARD</w:t>
      </w:r>
    </w:p>
    <w:p>
      <w:pPr>
        <w:pStyle w:val="Title"/>
        <w:spacing w:after="120"/>
      </w:pPr>
      <w:r>
        <w:rPr>
          <w:rFonts w:ascii="맑은 고딕" w:hAnsi="맑은 고딕" w:eastAsia="맑은 고딕"/>
          <w:color w:val="0B2545"/>
          <w:sz w:val="52"/>
        </w:rPr>
        <w:t>AX HUB Tool 설계 가이드</w:t>
      </w:r>
    </w:p>
    <w:p>
      <w:pPr>
        <w:pStyle w:val="Subtitle"/>
      </w:pPr>
      <w:r>
        <w:rPr>
          <w:rFonts w:ascii="맑은 고딕" w:hAnsi="맑은 고딕" w:eastAsia="맑은 고딕"/>
          <w:color w:val="667085"/>
          <w:sz w:val="24"/>
        </w:rPr>
        <w:t>명명·구조·Schema·MCI·Glow HTTP 설계 기준</w:t>
      </w:r>
    </w:p>
    <w:p>
      <w:pPr>
        <w:spacing w:after="280"/>
        <w:pBdr>
          <w:bottom w:val="single" w:sz="14" w:space="1" w:color="2E74B5"/>
        </w:pBdr>
      </w:pPr>
    </w:p>
    <w:p>
      <w:pPr>
        <w:spacing w:after="80"/>
        <w:ind w:left="115" w:firstLine="0"/>
      </w:pPr>
      <w:r>
        <w:rPr>
          <w:rFonts w:ascii="맑은 고딕" w:hAnsi="맑은 고딕" w:eastAsia="맑은 고딕"/>
          <w:b/>
          <w:color w:val="1F4D78"/>
          <w:sz w:val="19"/>
        </w:rPr>
        <w:t xml:space="preserve">문서 구분  </w:t>
      </w:r>
      <w:r>
        <w:rPr>
          <w:rFonts w:ascii="맑은 고딕" w:hAnsi="맑은 고딕" w:eastAsia="맑은 고딕"/>
          <w:color w:val="0B2545"/>
          <w:sz w:val="20"/>
        </w:rPr>
        <w:t>Tool 설계 가이드</w:t>
      </w:r>
    </w:p>
    <w:p>
      <w:pPr>
        <w:spacing w:after="80"/>
        <w:ind w:left="115" w:firstLine="0"/>
      </w:pPr>
      <w:r>
        <w:rPr>
          <w:rFonts w:ascii="맑은 고딕" w:hAnsi="맑은 고딕" w:eastAsia="맑은 고딕"/>
          <w:b/>
          <w:color w:val="1F4D78"/>
          <w:sz w:val="19"/>
        </w:rPr>
        <w:t xml:space="preserve">기준 버전  </w:t>
      </w:r>
      <w:r>
        <w:rPr>
          <w:rFonts w:ascii="맑은 고딕" w:hAnsi="맑은 고딕" w:eastAsia="맑은 고딕"/>
          <w:color w:val="0B2545"/>
          <w:sz w:val="20"/>
        </w:rPr>
        <w:t>Java 21 · Spring Boot 3.5.11 · MCP SDK 2.0.0</w:t>
      </w:r>
    </w:p>
    <w:p>
      <w:pPr>
        <w:spacing w:after="80"/>
        <w:ind w:left="115" w:firstLine="0"/>
      </w:pPr>
      <w:r>
        <w:rPr>
          <w:rFonts w:ascii="맑은 고딕" w:hAnsi="맑은 고딕" w:eastAsia="맑은 고딕"/>
          <w:b/>
          <w:color w:val="1F4D78"/>
          <w:sz w:val="19"/>
        </w:rPr>
        <w:t xml:space="preserve">적용 범위  </w:t>
      </w:r>
      <w:r>
        <w:rPr>
          <w:rFonts w:ascii="맑은 고딕" w:hAnsi="맑은 고딕" w:eastAsia="맑은 고딕"/>
          <w:color w:val="0B2545"/>
          <w:sz w:val="20"/>
        </w:rPr>
        <w:t>dap-was-lib 및 Tool Pod(CUS · SAL · PRO · SYS)</w:t>
      </w:r>
    </w:p>
    <w:p/>
    <w:p>
      <w:pPr>
        <w:pStyle w:val="Heading1"/>
      </w:pPr>
      <w:r>
        <w:t>1. 설계 목표</w:t>
      </w:r>
    </w:p>
    <w:p>
      <w:r>
        <w:rPr>
          <w:rFonts w:ascii="맑은 고딕" w:hAnsi="맑은 고딕" w:eastAsia="맑은 고딕"/>
          <w:sz w:val="22"/>
        </w:rPr>
        <w:t>Tool은 AI가 기능을 정확히 선택하고, 입력값을 안전하게 전달하며, 레거시 응답을 사람이 이해할 수 있는 형태로 반환하도록 설계한다.</w:t>
      </w:r>
    </w:p>
    <w:p>
      <w:r>
        <w:rPr>
          <w:rFonts w:ascii="맑은 고딕" w:hAnsi="맑은 고딕" w:eastAsia="맑은 고딕"/>
          <w:sz w:val="22"/>
        </w:rPr>
        <w:t>핵심 원칙은 다음과 같다.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Tool의 업무 목적과 호출 조건을 명확히 작성한다.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AI용 DTO와 MCI·HTTP 전문 DTO를 분리한다.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입력과 출력의 JSON Schema를 구체적으로 정의한다.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endpoint, timeout, 인증 값은 설정으로 분리한다.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동일한 Tool명은 빌드 단계에서 차단한다.</w:t>
      </w:r>
    </w:p>
    <w:p>
      <w:pPr>
        <w:pStyle w:val="Heading1"/>
      </w:pPr>
      <w:r>
        <w:t>2. Tool명 규칙</w:t>
      </w:r>
    </w:p>
    <w:p>
      <w:r>
        <w:rPr>
          <w:rFonts w:ascii="맑은 고딕" w:hAnsi="맑은 고딕" w:eastAsia="맑은 고딕"/>
          <w:sz w:val="22"/>
        </w:rPr>
        <w:t>현재 V17 검증 규칙은 다음과 같다.</w:t>
      </w:r>
    </w:p>
    <w:p>
      <w:pPr>
        <w:keepLines/>
        <w:spacing w:before="60" w:after="160" w:line="240" w:lineRule="auto"/>
        <w:ind w:left="173" w:right="173"/>
        <w:shd w:fill="F5F7FA"/>
      </w:pPr>
      <w:r>
        <w:rPr>
          <w:rFonts w:ascii="Consolas" w:hAnsi="Consolas" w:eastAsia="Consolas"/>
          <w:color w:val="0B2545"/>
          <w:sz w:val="16"/>
        </w:rPr>
        <w:t>^[a-z][a-z0-9_]{2,63}$</w:t>
      </w:r>
    </w:p>
    <w:p>
      <w:r>
        <w:rPr>
          <w:rFonts w:ascii="맑은 고딕" w:hAnsi="맑은 고딕" w:eastAsia="맑은 고딕"/>
          <w:sz w:val="22"/>
        </w:rPr>
        <w:t xml:space="preserve">권장 형식은 </w:t>
      </w:r>
      <w:r>
        <w:rPr>
          <w:rFonts w:ascii="Consolas" w:hAnsi="Consolas" w:eastAsia="Consolas"/>
          <w:color w:val="1F4D78"/>
          <w:sz w:val="20"/>
          <w:shd w:fill="EEF2F6"/>
        </w:rPr>
        <w:t>{업무도메인}_{업무기능}_{행위}</w:t>
      </w:r>
      <w:r>
        <w:rPr>
          <w:rFonts w:ascii="맑은 고딕" w:hAnsi="맑은 고딕" w:eastAsia="맑은 고딕"/>
          <w:sz w:val="22"/>
        </w:rPr>
        <w:t>이다.</w:t>
      </w:r>
    </w:p>
    <w:p>
      <w:pPr>
        <w:keepLines/>
        <w:spacing w:before="60" w:after="160" w:line="240" w:lineRule="auto"/>
        <w:ind w:left="173" w:right="173"/>
        <w:shd w:fill="F5F7FA"/>
      </w:pPr>
      <w:r>
        <w:rPr>
          <w:rFonts w:ascii="Consolas" w:hAnsi="Consolas" w:eastAsia="Consolas"/>
          <w:color w:val="0B2545"/>
          <w:sz w:val="16"/>
        </w:rPr>
        <w:t>cmm_claim_search</w:t>
        <w:br/>
      </w:r>
      <w:r>
        <w:rPr>
          <w:rFonts w:ascii="Consolas" w:hAnsi="Consolas" w:eastAsia="Consolas"/>
          <w:color w:val="0B2545"/>
          <w:sz w:val="16"/>
        </w:rPr>
        <w:t>cmm_comcode_lookup</w:t>
        <w:br/>
      </w:r>
      <w:r>
        <w:rPr>
          <w:rFonts w:ascii="Consolas" w:hAnsi="Consolas" w:eastAsia="Consolas"/>
          <w:color w:val="0B2545"/>
          <w:sz w:val="16"/>
        </w:rPr>
        <w:t>smp_exchange_inquiry</w:t>
        <w:br/>
      </w:r>
      <w:r>
        <w:rPr>
          <w:rFonts w:ascii="Consolas" w:hAnsi="Consolas" w:eastAsia="Consolas"/>
          <w:color w:val="0B2545"/>
          <w:sz w:val="16"/>
        </w:rPr>
        <w:t>ins_insurance_processor</w:t>
      </w:r>
    </w:p>
    <w:p>
      <w:r>
        <w:rPr>
          <w:rFonts w:ascii="맑은 고딕" w:hAnsi="맑은 고딕" w:eastAsia="맑은 고딕"/>
          <w:sz w:val="22"/>
        </w:rPr>
        <w:t>설계 규칙: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소문자 영문, 숫자, 언더스코어만 사용한다.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Pod명(</w:t>
      </w:r>
      <w:r>
        <w:rPr>
          <w:rFonts w:ascii="Consolas" w:hAnsi="Consolas" w:eastAsia="Consolas"/>
          <w:color w:val="1F4D78"/>
          <w:sz w:val="20"/>
          <w:shd w:fill="EEF2F6"/>
        </w:rPr>
        <w:t>cus</w:t>
      </w:r>
      <w:r>
        <w:rPr>
          <w:rFonts w:ascii="맑은 고딕" w:hAnsi="맑은 고딕" w:eastAsia="맑은 고딕"/>
          <w:sz w:val="22"/>
        </w:rPr>
        <w:t xml:space="preserve">, </w:t>
      </w:r>
      <w:r>
        <w:rPr>
          <w:rFonts w:ascii="Consolas" w:hAnsi="Consolas" w:eastAsia="Consolas"/>
          <w:color w:val="1F4D78"/>
          <w:sz w:val="20"/>
          <w:shd w:fill="EEF2F6"/>
        </w:rPr>
        <w:t>sal</w:t>
      </w:r>
      <w:r>
        <w:rPr>
          <w:rFonts w:ascii="맑은 고딕" w:hAnsi="맑은 고딕" w:eastAsia="맑은 고딕"/>
          <w:sz w:val="22"/>
        </w:rPr>
        <w:t xml:space="preserve">, </w:t>
      </w:r>
      <w:r>
        <w:rPr>
          <w:rFonts w:ascii="Consolas" w:hAnsi="Consolas" w:eastAsia="Consolas"/>
          <w:color w:val="1F4D78"/>
          <w:sz w:val="20"/>
          <w:shd w:fill="EEF2F6"/>
        </w:rPr>
        <w:t>pro</w:t>
      </w:r>
      <w:r>
        <w:rPr>
          <w:rFonts w:ascii="맑은 고딕" w:hAnsi="맑은 고딕" w:eastAsia="맑은 고딕"/>
          <w:sz w:val="22"/>
        </w:rPr>
        <w:t xml:space="preserve">, </w:t>
      </w:r>
      <w:r>
        <w:rPr>
          <w:rFonts w:ascii="Consolas" w:hAnsi="Consolas" w:eastAsia="Consolas"/>
          <w:color w:val="1F4D78"/>
          <w:sz w:val="20"/>
          <w:shd w:fill="EEF2F6"/>
        </w:rPr>
        <w:t>sys</w:t>
      </w:r>
      <w:r>
        <w:rPr>
          <w:rFonts w:ascii="맑은 고딕" w:hAnsi="맑은 고딕" w:eastAsia="맑은 고딕"/>
          <w:sz w:val="22"/>
        </w:rPr>
        <w:t>)은 Tool명에 넣지 않는다.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마침표와 공백을 사용하지 않는다.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구현 클래스명이나 인터페이스 ID만으로 이름을 만들지 않는다.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이름은 한 번 배포한 뒤 호환성을 위해 가급적 변경하지 않는다.</w:t>
      </w:r>
    </w:p>
    <w:p>
      <w:r>
        <w:rPr>
          <w:rFonts w:ascii="Consolas" w:hAnsi="Consolas" w:eastAsia="Consolas"/>
          <w:color w:val="1F4D78"/>
          <w:sz w:val="20"/>
          <w:shd w:fill="EEF2F6"/>
        </w:rPr>
        <w:t>mcp.namespace</w:t>
      </w:r>
      <w:r>
        <w:rPr>
          <w:rFonts w:ascii="맑은 고딕" w:hAnsi="맑은 고딕" w:eastAsia="맑은 고딕"/>
          <w:sz w:val="22"/>
        </w:rPr>
        <w:t>를 설정하면 런타임 등록명 앞에 namespace가 붙을 수 있으므로, 기본값인 빈 문자열 사용 여부를 Pod 운영 기준과 함께 확정한다.</w:t>
      </w:r>
    </w:p>
    <w:p>
      <w:pPr>
        <w:pStyle w:val="Heading1"/>
      </w:pPr>
      <w:r>
        <w:t>3. 업무 패키지 구조</w:t>
      </w:r>
    </w:p>
    <w:p>
      <w:pPr>
        <w:keepLines/>
        <w:spacing w:before="60" w:after="160" w:line="240" w:lineRule="auto"/>
        <w:ind w:left="173" w:right="173"/>
        <w:shd w:fill="F5F7FA"/>
      </w:pPr>
      <w:r>
        <w:rPr>
          <w:rFonts w:ascii="Consolas" w:hAnsi="Consolas" w:eastAsia="Consolas"/>
          <w:color w:val="0B2545"/>
          <w:sz w:val="16"/>
        </w:rPr>
        <w:t>io.shinhanlife.dap.mcc</w:t>
        <w:br/>
      </w:r>
      <w:r>
        <w:rPr>
          <w:rFonts w:ascii="Consolas" w:hAnsi="Consolas" w:eastAsia="Consolas"/>
          <w:color w:val="0B2545"/>
          <w:sz w:val="16"/>
        </w:rPr>
        <w:t>├─ biz.{category}</w:t>
        <w:br/>
      </w:r>
      <w:r>
        <w:rPr>
          <w:rFonts w:ascii="Consolas" w:hAnsi="Consolas" w:eastAsia="Consolas"/>
          <w:color w:val="0B2545"/>
          <w:sz w:val="16"/>
        </w:rPr>
        <w:t>│  ├─ dto</w:t>
        <w:br/>
      </w:r>
      <w:r>
        <w:rPr>
          <w:rFonts w:ascii="Consolas" w:hAnsi="Consolas" w:eastAsia="Consolas"/>
          <w:color w:val="0B2545"/>
          <w:sz w:val="16"/>
        </w:rPr>
        <w:t>│  ├─ converter</w:t>
        <w:br/>
      </w:r>
      <w:r>
        <w:rPr>
          <w:rFonts w:ascii="Consolas" w:hAnsi="Consolas" w:eastAsia="Consolas"/>
          <w:color w:val="0B2545"/>
          <w:sz w:val="16"/>
        </w:rPr>
        <w:t>│  └─ usecase</w:t>
        <w:br/>
      </w:r>
      <w:r>
        <w:rPr>
          <w:rFonts w:ascii="Consolas" w:hAnsi="Consolas" w:eastAsia="Consolas"/>
          <w:color w:val="0B2545"/>
          <w:sz w:val="16"/>
        </w:rPr>
        <w:t>│     └─ impl</w:t>
        <w:br/>
      </w:r>
      <w:r>
        <w:rPr>
          <w:rFonts w:ascii="Consolas" w:hAnsi="Consolas" w:eastAsia="Consolas"/>
          <w:color w:val="0B2545"/>
          <w:sz w:val="16"/>
        </w:rPr>
        <w:t>└─ infra.itrf</w:t>
        <w:br/>
      </w:r>
      <w:r>
        <w:rPr>
          <w:rFonts w:ascii="Consolas" w:hAnsi="Consolas" w:eastAsia="Consolas"/>
          <w:color w:val="0B2545"/>
          <w:sz w:val="16"/>
        </w:rPr>
        <w:t xml:space="preserve">   ├─ mci.{clientSystemCode}</w:t>
        <w:br/>
      </w:r>
      <w:r>
        <w:rPr>
          <w:rFonts w:ascii="Consolas" w:hAnsi="Consolas" w:eastAsia="Consolas"/>
          <w:color w:val="0B2545"/>
          <w:sz w:val="16"/>
        </w:rPr>
        <w:t xml:space="preserve">   │  └─ io</w:t>
        <w:br/>
      </w:r>
      <w:r>
        <w:rPr>
          <w:rFonts w:ascii="Consolas" w:hAnsi="Consolas" w:eastAsia="Consolas"/>
          <w:color w:val="0B2545"/>
          <w:sz w:val="16"/>
        </w:rPr>
        <w:t xml:space="preserve">   └─ http.{httpApiName}</w:t>
        <w:br/>
      </w:r>
      <w:r>
        <w:rPr>
          <w:rFonts w:ascii="Consolas" w:hAnsi="Consolas" w:eastAsia="Consolas"/>
          <w:color w:val="0B2545"/>
          <w:sz w:val="16"/>
        </w:rPr>
        <w:t xml:space="preserve">      └─ io</w:t>
      </w:r>
    </w:p>
    <w:p>
      <w:r>
        <w:rPr>
          <w:rFonts w:ascii="맑은 고딕" w:hAnsi="맑은 고딕" w:eastAsia="맑은 고딕"/>
          <w:sz w:val="22"/>
        </w:rPr>
        <w:t>각 계층의 책임은 다음과 같다.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3983"/>
        <w:gridCol w:w="5377"/>
      </w:tblGrid>
      <w:tr>
        <w:trPr>
          <w:tblHeader w:val="true"/>
        </w:trPr>
        <w:tc>
          <w:tcPr>
            <w:tcW w:type="dxa" w:w="3983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color w:val="1F4D78"/>
              </w:rPr>
            </w:r>
            <w:r>
              <w:rPr>
                <w:rFonts w:ascii="맑은 고딕" w:hAnsi="맑은 고딕" w:eastAsia="맑은 고딕"/>
                <w:b/>
                <w:color w:val="1F4D78"/>
                <w:sz w:val="18"/>
              </w:rPr>
              <w:t>계층</w:t>
            </w:r>
          </w:p>
        </w:tc>
        <w:tc>
          <w:tcPr>
            <w:tcW w:type="dxa" w:w="5377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color w:val="1F4D78"/>
              </w:rPr>
            </w:r>
            <w:r>
              <w:rPr>
                <w:rFonts w:ascii="맑은 고딕" w:hAnsi="맑은 고딕" w:eastAsia="맑은 고딕"/>
                <w:b/>
                <w:color w:val="1F4D78"/>
                <w:sz w:val="18"/>
              </w:rPr>
              <w:t>책임</w:t>
            </w:r>
          </w:p>
        </w:tc>
      </w:tr>
      <w:tr>
        <w:tc>
          <w:tcPr>
            <w:tcW w:type="dxa" w:w="398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biz.*.dto</w:t>
            </w:r>
          </w:p>
        </w:tc>
        <w:tc>
          <w:tcPr>
            <w:tcW w:type="dxa" w:w="537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AI가 이해하는 Tool 요청·응답 모델</w:t>
            </w:r>
          </w:p>
        </w:tc>
      </w:tr>
      <w:tr>
        <w:tc>
          <w:tcPr>
            <w:tcW w:type="dxa" w:w="398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biz.*.converter</w:t>
            </w:r>
          </w:p>
        </w:tc>
        <w:tc>
          <w:tcPr>
            <w:tcW w:type="dxa" w:w="537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Tool DTO와 연계 전문 DTO 변환</w:t>
            </w:r>
          </w:p>
        </w:tc>
      </w:tr>
      <w:tr>
        <w:tc>
          <w:tcPr>
            <w:tcW w:type="dxa" w:w="398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biz.*.usecase</w:t>
            </w:r>
          </w:p>
        </w:tc>
        <w:tc>
          <w:tcPr>
            <w:tcW w:type="dxa" w:w="537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@McpTool</w:t>
            </w:r>
            <w:r>
              <w:rPr>
                <w:rFonts w:ascii="맑은 고딕" w:hAnsi="맑은 고딕" w:eastAsia="맑은 고딕"/>
                <w:sz w:val="18"/>
              </w:rPr>
              <w:t>로 노출할 업무 계약</w:t>
            </w:r>
          </w:p>
        </w:tc>
      </w:tr>
      <w:tr>
        <w:tc>
          <w:tcPr>
            <w:tcW w:type="dxa" w:w="398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biz.*.usecase.impl</w:t>
            </w:r>
          </w:p>
        </w:tc>
        <w:tc>
          <w:tcPr>
            <w:tcW w:type="dxa" w:w="537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변환, Client 호출, 응답 해석</w:t>
            </w:r>
          </w:p>
        </w:tc>
      </w:tr>
      <w:tr>
        <w:tc>
          <w:tcPr>
            <w:tcW w:type="dxa" w:w="398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infra.itrf.mci.*</w:t>
            </w:r>
          </w:p>
        </w:tc>
        <w:tc>
          <w:tcPr>
            <w:tcW w:type="dxa" w:w="537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MCI 인터페이스별 Client와 요청·응답 전문</w:t>
            </w:r>
          </w:p>
        </w:tc>
      </w:tr>
      <w:tr>
        <w:tc>
          <w:tcPr>
            <w:tcW w:type="dxa" w:w="398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infra.itrf.http.*</w:t>
            </w:r>
          </w:p>
        </w:tc>
        <w:tc>
          <w:tcPr>
            <w:tcW w:type="dxa" w:w="537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HTTP API별 Client와 요청·응답 전문</w:t>
            </w:r>
          </w:p>
        </w:tc>
      </w:tr>
    </w:tbl>
    <w:p>
      <w:pPr>
        <w:spacing w:after="40"/>
      </w:pPr>
    </w:p>
    <w:p>
      <w:r>
        <w:rPr>
          <w:rFonts w:ascii="맑은 고딕" w:hAnsi="맑은 고딕" w:eastAsia="맑은 고딕"/>
          <w:sz w:val="22"/>
        </w:rPr>
        <w:t xml:space="preserve">한 UseCase 인터페이스에는 관련된 Tool 함수를 여러 개 선언할 수 있다. 이때 구현체에도 동일한 메서드를 추가하고, 각 메서드마다 독립된 </w:t>
      </w:r>
      <w:r>
        <w:rPr>
          <w:rFonts w:ascii="Consolas" w:hAnsi="Consolas" w:eastAsia="Consolas"/>
          <w:color w:val="1F4D78"/>
          <w:sz w:val="20"/>
          <w:shd w:fill="EEF2F6"/>
        </w:rPr>
        <w:t>@McpTool</w:t>
      </w:r>
      <w:r>
        <w:rPr>
          <w:rFonts w:ascii="맑은 고딕" w:hAnsi="맑은 고딕" w:eastAsia="맑은 고딕"/>
          <w:sz w:val="22"/>
        </w:rPr>
        <w:t xml:space="preserve">과 </w:t>
      </w:r>
      <w:r>
        <w:rPr>
          <w:rFonts w:ascii="Consolas" w:hAnsi="Consolas" w:eastAsia="Consolas"/>
          <w:color w:val="1F4D78"/>
          <w:sz w:val="20"/>
          <w:shd w:fill="EEF2F6"/>
        </w:rPr>
        <w:t>@GrowToolHint</w:t>
      </w:r>
      <w:r>
        <w:rPr>
          <w:rFonts w:ascii="맑은 고딕" w:hAnsi="맑은 고딕" w:eastAsia="맑은 고딕"/>
          <w:sz w:val="22"/>
        </w:rPr>
        <w:t>를 지정한다. 공통 추상 UseCase 상속은 필수가 아니다.</w:t>
      </w:r>
    </w:p>
    <w:p>
      <w:pPr>
        <w:pStyle w:val="Heading1"/>
      </w:pPr>
      <w:r>
        <w:t>4. Tool 선언</w:t>
      </w:r>
    </w:p>
    <w:p>
      <w:pPr>
        <w:keepLines/>
        <w:spacing w:before="60" w:after="160" w:line="240" w:lineRule="auto"/>
        <w:ind w:left="173" w:right="173"/>
        <w:shd w:fill="F5F7FA"/>
      </w:pPr>
      <w:r>
        <w:rPr>
          <w:rFonts w:ascii="Consolas" w:hAnsi="Consolas" w:eastAsia="Consolas"/>
          <w:color w:val="0B2545"/>
          <w:sz w:val="16"/>
        </w:rPr>
        <w:t>@McpTool(</w:t>
        <w:br/>
      </w:r>
      <w:r>
        <w:rPr>
          <w:rFonts w:ascii="Consolas" w:hAnsi="Consolas" w:eastAsia="Consolas"/>
          <w:color w:val="0B2545"/>
          <w:sz w:val="16"/>
        </w:rPr>
        <w:t xml:space="preserve">    name = "cmm_claim_search",</w:t>
        <w:br/>
      </w:r>
      <w:r>
        <w:rPr>
          <w:rFonts w:ascii="Consolas" w:hAnsi="Consolas" w:eastAsia="Consolas"/>
          <w:color w:val="0B2545"/>
          <w:sz w:val="16"/>
        </w:rPr>
        <w:t xml:space="preserve">    title = "보험금 청구 상태 조회",</w:t>
        <w:br/>
      </w:r>
      <w:r>
        <w:rPr>
          <w:rFonts w:ascii="Consolas" w:hAnsi="Consolas" w:eastAsia="Consolas"/>
          <w:color w:val="0B2545"/>
          <w:sz w:val="16"/>
        </w:rPr>
        <w:t xml:space="preserve">    description = "청구번호 또는 계약번호로 보험금 청구 상태를 조회합니다."</w:t>
        <w:br/>
      </w:r>
      <w:r>
        <w:rPr>
          <w:rFonts w:ascii="Consolas" w:hAnsi="Consolas" w:eastAsia="Consolas"/>
          <w:color w:val="0B2545"/>
          <w:sz w:val="16"/>
        </w:rPr>
        <w:t>)</w:t>
        <w:br/>
      </w:r>
      <w:r>
        <w:rPr>
          <w:rFonts w:ascii="Consolas" w:hAnsi="Consolas" w:eastAsia="Consolas"/>
          <w:color w:val="0B2545"/>
          <w:sz w:val="16"/>
        </w:rPr>
        <w:t>@GrowToolHint(</w:t>
        <w:br/>
      </w:r>
      <w:r>
        <w:rPr>
          <w:rFonts w:ascii="Consolas" w:hAnsi="Consolas" w:eastAsia="Consolas"/>
          <w:color w:val="0B2545"/>
          <w:sz w:val="16"/>
        </w:rPr>
        <w:t xml:space="preserve">    register = true,</w:t>
        <w:br/>
      </w:r>
      <w:r>
        <w:rPr>
          <w:rFonts w:ascii="Consolas" w:hAnsi="Consolas" w:eastAsia="Consolas"/>
          <w:color w:val="0B2545"/>
          <w:sz w:val="16"/>
        </w:rPr>
        <w:t xml:space="preserve">    categoryKey = "cmm",</w:t>
        <w:br/>
      </w:r>
      <w:r>
        <w:rPr>
          <w:rFonts w:ascii="Consolas" w:hAnsi="Consolas" w:eastAsia="Consolas"/>
          <w:color w:val="0B2545"/>
          <w:sz w:val="16"/>
        </w:rPr>
        <w:t xml:space="preserve">    mappingId = "CLCNNB00001"</w:t>
        <w:br/>
      </w:r>
      <w:r>
        <w:rPr>
          <w:rFonts w:ascii="Consolas" w:hAnsi="Consolas" w:eastAsia="Consolas"/>
          <w:color w:val="0B2545"/>
          <w:sz w:val="16"/>
        </w:rPr>
        <w:t>)</w:t>
        <w:br/>
      </w:r>
      <w:r>
        <w:rPr>
          <w:rFonts w:ascii="Consolas" w:hAnsi="Consolas" w:eastAsia="Consolas"/>
          <w:color w:val="0B2545"/>
          <w:sz w:val="16"/>
        </w:rPr>
        <w:t>ClaimSearchResponse searchClaim(ClaimSearchRequest request);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535"/>
        <w:gridCol w:w="6825"/>
      </w:tblGrid>
      <w:tr>
        <w:trPr>
          <w:tblHeader w:val="true"/>
        </w:trPr>
        <w:tc>
          <w:tcPr>
            <w:tcW w:type="dxa" w:w="2535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color w:val="1F4D78"/>
              </w:rPr>
            </w:r>
            <w:r>
              <w:rPr>
                <w:rFonts w:ascii="맑은 고딕" w:hAnsi="맑은 고딕" w:eastAsia="맑은 고딕"/>
                <w:b/>
                <w:color w:val="1F4D78"/>
                <w:sz w:val="18"/>
              </w:rPr>
              <w:t>항목</w:t>
            </w:r>
          </w:p>
        </w:tc>
        <w:tc>
          <w:tcPr>
            <w:tcW w:type="dxa" w:w="6825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color w:val="1F4D78"/>
              </w:rPr>
            </w:r>
            <w:r>
              <w:rPr>
                <w:rFonts w:ascii="맑은 고딕" w:hAnsi="맑은 고딕" w:eastAsia="맑은 고딕"/>
                <w:b/>
                <w:color w:val="1F4D78"/>
                <w:sz w:val="18"/>
              </w:rPr>
              <w:t>작성 기준</w:t>
            </w:r>
          </w:p>
        </w:tc>
      </w:tr>
      <w:tr>
        <w:tc>
          <w:tcPr>
            <w:tcW w:type="dxa" w:w="253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name</w:t>
            </w:r>
          </w:p>
        </w:tc>
        <w:tc>
          <w:tcPr>
            <w:tcW w:type="dxa" w:w="682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시스템 식별용 영문 Tool명</w:t>
            </w:r>
          </w:p>
        </w:tc>
      </w:tr>
      <w:tr>
        <w:tc>
          <w:tcPr>
            <w:tcW w:type="dxa" w:w="253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title</w:t>
            </w:r>
          </w:p>
        </w:tc>
        <w:tc>
          <w:tcPr>
            <w:tcW w:type="dxa" w:w="682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사용자 화면에 표시할 짧은 업무명</w:t>
            </w:r>
          </w:p>
        </w:tc>
      </w:tr>
      <w:tr>
        <w:tc>
          <w:tcPr>
            <w:tcW w:type="dxa" w:w="253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description</w:t>
            </w:r>
          </w:p>
        </w:tc>
        <w:tc>
          <w:tcPr>
            <w:tcW w:type="dxa" w:w="682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Tool이 실제로 수행하는 기능 설명</w:t>
            </w:r>
          </w:p>
        </w:tc>
      </w:tr>
      <w:tr>
        <w:tc>
          <w:tcPr>
            <w:tcW w:type="dxa" w:w="253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categoryKey</w:t>
            </w:r>
          </w:p>
        </w:tc>
        <w:tc>
          <w:tcPr>
            <w:tcW w:type="dxa" w:w="682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업무 분류 코드</w:t>
            </w:r>
          </w:p>
        </w:tc>
      </w:tr>
      <w:tr>
        <w:tc>
          <w:tcPr>
            <w:tcW w:type="dxa" w:w="253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mappingId</w:t>
            </w:r>
          </w:p>
        </w:tc>
        <w:tc>
          <w:tcPr>
            <w:tcW w:type="dxa" w:w="682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MCI 인터페이스 ID 또는 업무 연계 식별자</w:t>
            </w:r>
          </w:p>
        </w:tc>
      </w:tr>
      <w:tr>
        <w:tc>
          <w:tcPr>
            <w:tcW w:type="dxa" w:w="253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register</w:t>
            </w:r>
          </w:p>
        </w:tc>
        <w:tc>
          <w:tcPr>
            <w:tcW w:type="dxa" w:w="682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false</w:t>
            </w:r>
            <w:r>
              <w:rPr>
                <w:rFonts w:ascii="맑은 고딕" w:hAnsi="맑은 고딕" w:eastAsia="맑은 고딕"/>
                <w:sz w:val="18"/>
              </w:rPr>
              <w:t>이면 개발 중인 Tool을 외부 노출 대상에서 제외</w:t>
            </w:r>
          </w:p>
        </w:tc>
      </w:tr>
    </w:tbl>
    <w:p>
      <w:pPr>
        <w:spacing w:after="40"/>
      </w:pPr>
    </w:p>
    <w:p>
      <w:r>
        <w:rPr>
          <w:rFonts w:ascii="Consolas" w:hAnsi="Consolas" w:eastAsia="Consolas"/>
          <w:color w:val="1F4D78"/>
          <w:sz w:val="20"/>
          <w:shd w:fill="EEF2F6"/>
        </w:rPr>
        <w:t>title</w:t>
      </w:r>
      <w:r>
        <w:rPr>
          <w:rFonts w:ascii="맑은 고딕" w:hAnsi="맑은 고딕" w:eastAsia="맑은 고딕"/>
          <w:sz w:val="22"/>
        </w:rPr>
        <w:t xml:space="preserve">과 </w:t>
      </w:r>
      <w:r>
        <w:rPr>
          <w:rFonts w:ascii="Consolas" w:hAnsi="Consolas" w:eastAsia="Consolas"/>
          <w:color w:val="1F4D78"/>
          <w:sz w:val="20"/>
          <w:shd w:fill="EEF2F6"/>
        </w:rPr>
        <w:t>description</w:t>
      </w:r>
      <w:r>
        <w:rPr>
          <w:rFonts w:ascii="맑은 고딕" w:hAnsi="맑은 고딕" w:eastAsia="맑은 고딕"/>
          <w:sz w:val="22"/>
        </w:rPr>
        <w:t xml:space="preserve">은 같은 문장을 반복하지 않는다. </w:t>
      </w:r>
      <w:r>
        <w:rPr>
          <w:rFonts w:ascii="Consolas" w:hAnsi="Consolas" w:eastAsia="Consolas"/>
          <w:color w:val="1F4D78"/>
          <w:sz w:val="20"/>
          <w:shd w:fill="EEF2F6"/>
        </w:rPr>
        <w:t>title</w:t>
      </w:r>
      <w:r>
        <w:rPr>
          <w:rFonts w:ascii="맑은 고딕" w:hAnsi="맑은 고딕" w:eastAsia="맑은 고딕"/>
          <w:sz w:val="22"/>
        </w:rPr>
        <w:t xml:space="preserve">은 짧은 명칭, </w:t>
      </w:r>
      <w:r>
        <w:rPr>
          <w:rFonts w:ascii="Consolas" w:hAnsi="Consolas" w:eastAsia="Consolas"/>
          <w:color w:val="1F4D78"/>
          <w:sz w:val="20"/>
          <w:shd w:fill="EEF2F6"/>
        </w:rPr>
        <w:t>description</w:t>
      </w:r>
      <w:r>
        <w:rPr>
          <w:rFonts w:ascii="맑은 고딕" w:hAnsi="맑은 고딕" w:eastAsia="맑은 고딕"/>
          <w:sz w:val="22"/>
        </w:rPr>
        <w:t>은 대상·조건·결과를 포함한 한두 문장으로 작성한다.</w:t>
      </w:r>
    </w:p>
    <w:p>
      <w:pPr>
        <w:pStyle w:val="Heading1"/>
      </w:pPr>
      <w:r>
        <w:t>5. Tool Schema V17 메타데이터</w:t>
      </w:r>
    </w:p>
    <w:p>
      <w:r>
        <w:rPr>
          <w:rFonts w:ascii="맑은 고딕" w:hAnsi="맑은 고딕" w:eastAsia="맑은 고딕"/>
          <w:sz w:val="22"/>
        </w:rPr>
        <w:t>각 Tool에는 다음 경로의 정의 파일을 둔다.</w:t>
      </w:r>
    </w:p>
    <w:p>
      <w:pPr>
        <w:keepLines/>
        <w:spacing w:before="60" w:after="160" w:line="240" w:lineRule="auto"/>
        <w:ind w:left="173" w:right="173"/>
        <w:shd w:fill="F5F7FA"/>
      </w:pPr>
      <w:r>
        <w:rPr>
          <w:rFonts w:ascii="Consolas" w:hAnsi="Consolas" w:eastAsia="Consolas"/>
          <w:color w:val="0B2545"/>
          <w:sz w:val="16"/>
        </w:rPr>
        <w:t>src/main/resources/tool-definitions/{categoryKey}/{toolName}.yml</w:t>
      </w:r>
    </w:p>
    <w:p>
      <w:r>
        <w:rPr>
          <w:rFonts w:ascii="맑은 고딕" w:hAnsi="맑은 고딕" w:eastAsia="맑은 고딕"/>
          <w:sz w:val="22"/>
        </w:rPr>
        <w:t>필수 구성 예시는 다음과 같다.</w:t>
      </w:r>
    </w:p>
    <w:p>
      <w:pPr>
        <w:keepLines w:val="0"/>
        <w:spacing w:before="60" w:after="160" w:line="240" w:lineRule="auto"/>
        <w:ind w:left="173" w:right="173"/>
        <w:shd w:fill="F5F7FA"/>
      </w:pPr>
      <w:r>
        <w:rPr>
          <w:rFonts w:ascii="Consolas" w:hAnsi="Consolas" w:eastAsia="Consolas"/>
          <w:color w:val="0B2545"/>
          <w:sz w:val="16"/>
        </w:rPr>
        <w:t>name: cmm_claim_search</w:t>
        <w:br/>
      </w:r>
      <w:r>
        <w:rPr>
          <w:rFonts w:ascii="Consolas" w:hAnsi="Consolas" w:eastAsia="Consolas"/>
          <w:color w:val="0B2545"/>
          <w:sz w:val="16"/>
        </w:rPr>
        <w:t>display_name: 보험금 청구 상태 조회</w:t>
        <w:br/>
      </w:r>
      <w:r>
        <w:rPr>
          <w:rFonts w:ascii="Consolas" w:hAnsi="Consolas" w:eastAsia="Consolas"/>
          <w:color w:val="0B2545"/>
          <w:sz w:val="16"/>
        </w:rPr>
        <w:t>version: 1.0.0</w:t>
        <w:br/>
      </w:r>
      <w:r>
        <w:rPr>
          <w:rFonts w:ascii="Consolas" w:hAnsi="Consolas" w:eastAsia="Consolas"/>
          <w:color w:val="0B2545"/>
          <w:sz w:val="16"/>
        </w:rPr>
        <w:t>category_key: cmm</w:t>
        <w:br/>
      </w:r>
      <w:r>
        <w:rPr>
          <w:rFonts w:ascii="Consolas" w:hAnsi="Consolas" w:eastAsia="Consolas"/>
          <w:color w:val="0B2545"/>
          <w:sz w:val="16"/>
        </w:rPr>
        <w:t>description:</w:t>
        <w:br/>
      </w:r>
      <w:r>
        <w:rPr>
          <w:rFonts w:ascii="Consolas" w:hAnsi="Consolas" w:eastAsia="Consolas"/>
          <w:color w:val="0B2545"/>
          <w:sz w:val="16"/>
        </w:rPr>
        <w:t xml:space="preserve">  function: 청구번호 또는 계약번호를 기준으로 청구 상태와 심사 결과를 조회한다.</w:t>
        <w:br/>
      </w:r>
      <w:r>
        <w:rPr>
          <w:rFonts w:ascii="Consolas" w:hAnsi="Consolas" w:eastAsia="Consolas"/>
          <w:color w:val="0B2545"/>
          <w:sz w:val="16"/>
        </w:rPr>
        <w:t xml:space="preserve">  when_to_use: 기존 청구 건의 진행 상태나 지급 결과를 확인할 때 사용한다.</w:t>
        <w:br/>
      </w:r>
      <w:r>
        <w:rPr>
          <w:rFonts w:ascii="Consolas" w:hAnsi="Consolas" w:eastAsia="Consolas"/>
          <w:color w:val="0B2545"/>
          <w:sz w:val="16"/>
        </w:rPr>
        <w:t xml:space="preserve">  when_not_to_use: 신규 보험금 청구 접수나 기존 청구 변경에는 사용하지 않는다.</w:t>
        <w:br/>
      </w:r>
      <w:r>
        <w:rPr>
          <w:rFonts w:ascii="Consolas" w:hAnsi="Consolas" w:eastAsia="Consolas"/>
          <w:color w:val="0B2545"/>
          <w:sz w:val="16"/>
        </w:rPr>
        <w:t xml:space="preserve">  io_limits: 청구번호 또는 계약번호 중 하나 이상이 필요하며 조회 기능만 제공한다.</w:t>
        <w:br/>
      </w:r>
      <w:r>
        <w:rPr>
          <w:rFonts w:ascii="Consolas" w:hAnsi="Consolas" w:eastAsia="Consolas"/>
          <w:color w:val="0B2545"/>
          <w:sz w:val="16"/>
        </w:rPr>
        <w:t>display_description: 보험금 청구 상태와 심사 결과를 조회합니다.</w:t>
        <w:br/>
      </w:r>
      <w:r>
        <w:rPr>
          <w:rFonts w:ascii="Consolas" w:hAnsi="Consolas" w:eastAsia="Consolas"/>
          <w:color w:val="0B2545"/>
          <w:sz w:val="16"/>
        </w:rPr>
        <w:t>example_queries:</w:t>
        <w:br/>
      </w:r>
      <w:r>
        <w:rPr>
          <w:rFonts w:ascii="Consolas" w:hAnsi="Consolas" w:eastAsia="Consolas"/>
          <w:color w:val="0B2545"/>
          <w:sz w:val="16"/>
        </w:rPr>
        <w:t xml:space="preserve">  - 내 보험금 청구가 어디까지 진행됐는지 알려줘</w:t>
        <w:br/>
      </w:r>
      <w:r>
        <w:rPr>
          <w:rFonts w:ascii="Consolas" w:hAnsi="Consolas" w:eastAsia="Consolas"/>
          <w:color w:val="0B2545"/>
          <w:sz w:val="16"/>
        </w:rPr>
        <w:t xml:space="preserve">  - 계약번호로 최근 청구 상태를 확인해줘</w:t>
        <w:br/>
      </w:r>
      <w:r>
        <w:rPr>
          <w:rFonts w:ascii="Consolas" w:hAnsi="Consolas" w:eastAsia="Consolas"/>
          <w:color w:val="0B2545"/>
          <w:sz w:val="16"/>
        </w:rPr>
        <w:t xml:space="preserve">  - 청구 심사 결과가 나왔는지 조회해줘</w:t>
        <w:br/>
      </w:r>
      <w:r>
        <w:rPr>
          <w:rFonts w:ascii="Consolas" w:hAnsi="Consolas" w:eastAsia="Consolas"/>
          <w:color w:val="0B2545"/>
          <w:sz w:val="16"/>
        </w:rPr>
        <w:t>read_only: true</w:t>
        <w:br/>
      </w:r>
      <w:r>
        <w:rPr>
          <w:rFonts w:ascii="Consolas" w:hAnsi="Consolas" w:eastAsia="Consolas"/>
          <w:color w:val="0B2545"/>
          <w:sz w:val="16"/>
        </w:rPr>
        <w:t>destructive: false</w:t>
        <w:br/>
      </w:r>
      <w:r>
        <w:rPr>
          <w:rFonts w:ascii="Consolas" w:hAnsi="Consolas" w:eastAsia="Consolas"/>
          <w:color w:val="0B2545"/>
          <w:sz w:val="16"/>
        </w:rPr>
        <w:t>idempotent: true</w:t>
        <w:br/>
      </w:r>
      <w:r>
        <w:rPr>
          <w:rFonts w:ascii="Consolas" w:hAnsi="Consolas" w:eastAsia="Consolas"/>
          <w:color w:val="0B2545"/>
          <w:sz w:val="16"/>
        </w:rPr>
        <w:t>parameters_schema:</w:t>
        <w:br/>
      </w:r>
      <w:r>
        <w:rPr>
          <w:rFonts w:ascii="Consolas" w:hAnsi="Consolas" w:eastAsia="Consolas"/>
          <w:color w:val="0B2545"/>
          <w:sz w:val="16"/>
        </w:rPr>
        <w:t xml:space="preserve">  type: object</w:t>
        <w:br/>
      </w:r>
      <w:r>
        <w:rPr>
          <w:rFonts w:ascii="Consolas" w:hAnsi="Consolas" w:eastAsia="Consolas"/>
          <w:color w:val="0B2545"/>
          <w:sz w:val="16"/>
        </w:rPr>
        <w:t xml:space="preserve">  properties:</w:t>
        <w:br/>
      </w:r>
      <w:r>
        <w:rPr>
          <w:rFonts w:ascii="Consolas" w:hAnsi="Consolas" w:eastAsia="Consolas"/>
          <w:color w:val="0B2545"/>
          <w:sz w:val="16"/>
        </w:rPr>
        <w:t xml:space="preserve">    claimNo:</w:t>
        <w:br/>
      </w:r>
      <w:r>
        <w:rPr>
          <w:rFonts w:ascii="Consolas" w:hAnsi="Consolas" w:eastAsia="Consolas"/>
          <w:color w:val="0B2545"/>
          <w:sz w:val="16"/>
        </w:rPr>
        <w:t xml:space="preserve">      type: string</w:t>
        <w:br/>
      </w:r>
      <w:r>
        <w:rPr>
          <w:rFonts w:ascii="Consolas" w:hAnsi="Consolas" w:eastAsia="Consolas"/>
          <w:color w:val="0B2545"/>
          <w:sz w:val="16"/>
        </w:rPr>
        <w:t xml:space="preserve">      description: 조회할 보험금 청구번호</w:t>
        <w:br/>
      </w:r>
      <w:r>
        <w:rPr>
          <w:rFonts w:ascii="Consolas" w:hAnsi="Consolas" w:eastAsia="Consolas"/>
          <w:color w:val="0B2545"/>
          <w:sz w:val="16"/>
        </w:rPr>
        <w:t xml:space="preserve">  additionalProperties: false</w:t>
        <w:br/>
      </w:r>
      <w:r>
        <w:rPr>
          <w:rFonts w:ascii="Consolas" w:hAnsi="Consolas" w:eastAsia="Consolas"/>
          <w:color w:val="0B2545"/>
          <w:sz w:val="16"/>
        </w:rPr>
        <w:t>tags: [보험금, 청구조회]</w:t>
        <w:br/>
      </w:r>
      <w:r>
        <w:rPr>
          <w:rFonts w:ascii="Consolas" w:hAnsi="Consolas" w:eastAsia="Consolas"/>
          <w:color w:val="0B2545"/>
          <w:sz w:val="16"/>
        </w:rPr>
        <w:t>legacy_interface_id: CLCNNB00001</w:t>
        <w:br/>
      </w:r>
      <w:r>
        <w:rPr>
          <w:rFonts w:ascii="Consolas" w:hAnsi="Consolas" w:eastAsia="Consolas"/>
          <w:color w:val="0B2545"/>
          <w:sz w:val="16"/>
        </w:rPr>
        <w:t>required_env_keys: []</w:t>
        <w:br/>
      </w:r>
      <w:r>
        <w:rPr>
          <w:rFonts w:ascii="Consolas" w:hAnsi="Consolas" w:eastAsia="Consolas"/>
          <w:color w:val="0B2545"/>
          <w:sz w:val="16"/>
        </w:rPr>
        <w:t>owner_org: MCP_TOOL</w:t>
      </w:r>
    </w:p>
    <w:p>
      <w:r>
        <w:rPr>
          <w:rFonts w:ascii="맑은 고딕" w:hAnsi="맑은 고딕" w:eastAsia="맑은 고딕"/>
          <w:sz w:val="22"/>
        </w:rPr>
        <w:t>V17 검증 기준:</w:t>
      </w:r>
    </w:p>
    <w:p>
      <w:pPr>
        <w:pStyle w:val="ListBullet"/>
      </w:pPr>
      <w:r>
        <w:rPr>
          <w:rFonts w:ascii="Consolas" w:hAnsi="Consolas" w:eastAsia="Consolas"/>
          <w:color w:val="1F4D78"/>
          <w:sz w:val="20"/>
          <w:shd w:fill="EEF2F6"/>
        </w:rPr>
        <w:t>name</w:t>
      </w:r>
      <w:r>
        <w:rPr>
          <w:rFonts w:ascii="맑은 고딕" w:hAnsi="맑은 고딕" w:eastAsia="맑은 고딕"/>
          <w:sz w:val="22"/>
        </w:rPr>
        <w:t>은 Tool명 정규식을 만족해야 한다.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표시명, 버전, 분류, 4종 설명은 비어 있으면 안 된다.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자연어 예시 질의는 3~10개이며 Tool명을 직접 포함하지 않는다.</w:t>
      </w:r>
    </w:p>
    <w:p>
      <w:pPr>
        <w:pStyle w:val="ListBullet"/>
      </w:pPr>
      <w:r>
        <w:rPr>
          <w:rFonts w:ascii="Consolas" w:hAnsi="Consolas" w:eastAsia="Consolas"/>
          <w:color w:val="1F4D78"/>
          <w:sz w:val="20"/>
          <w:shd w:fill="EEF2F6"/>
        </w:rPr>
        <w:t>read_only</w:t>
      </w:r>
      <w:r>
        <w:rPr>
          <w:rFonts w:ascii="맑은 고딕" w:hAnsi="맑은 고딕" w:eastAsia="맑은 고딕"/>
          <w:sz w:val="22"/>
        </w:rPr>
        <w:t xml:space="preserve">, </w:t>
      </w:r>
      <w:r>
        <w:rPr>
          <w:rFonts w:ascii="Consolas" w:hAnsi="Consolas" w:eastAsia="Consolas"/>
          <w:color w:val="1F4D78"/>
          <w:sz w:val="20"/>
          <w:shd w:fill="EEF2F6"/>
        </w:rPr>
        <w:t>destructive</w:t>
      </w:r>
      <w:r>
        <w:rPr>
          <w:rFonts w:ascii="맑은 고딕" w:hAnsi="맑은 고딕" w:eastAsia="맑은 고딕"/>
          <w:sz w:val="22"/>
        </w:rPr>
        <w:t xml:space="preserve">, </w:t>
      </w:r>
      <w:r>
        <w:rPr>
          <w:rFonts w:ascii="Consolas" w:hAnsi="Consolas" w:eastAsia="Consolas"/>
          <w:color w:val="1F4D78"/>
          <w:sz w:val="20"/>
          <w:shd w:fill="EEF2F6"/>
        </w:rPr>
        <w:t>idempotent</w:t>
      </w:r>
      <w:r>
        <w:rPr>
          <w:rFonts w:ascii="맑은 고딕" w:hAnsi="맑은 고딕" w:eastAsia="맑은 고딕"/>
          <w:sz w:val="22"/>
        </w:rPr>
        <w:t>를 명시한다.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 xml:space="preserve">Schema 최상위 타입은 </w:t>
      </w:r>
      <w:r>
        <w:rPr>
          <w:rFonts w:ascii="Consolas" w:hAnsi="Consolas" w:eastAsia="Consolas"/>
          <w:color w:val="1F4D78"/>
          <w:sz w:val="20"/>
          <w:shd w:fill="EEF2F6"/>
        </w:rPr>
        <w:t>object</w:t>
      </w:r>
      <w:r>
        <w:rPr>
          <w:rFonts w:ascii="맑은 고딕" w:hAnsi="맑은 고딕" w:eastAsia="맑은 고딕"/>
          <w:sz w:val="22"/>
        </w:rPr>
        <w:t>이다.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 xml:space="preserve">모든 속성에 </w:t>
      </w:r>
      <w:r>
        <w:rPr>
          <w:rFonts w:ascii="Consolas" w:hAnsi="Consolas" w:eastAsia="Consolas"/>
          <w:color w:val="1F4D78"/>
          <w:sz w:val="20"/>
          <w:shd w:fill="EEF2F6"/>
        </w:rPr>
        <w:t>description</w:t>
      </w:r>
      <w:r>
        <w:rPr>
          <w:rFonts w:ascii="맑은 고딕" w:hAnsi="맑은 고딕" w:eastAsia="맑은 고딕"/>
          <w:sz w:val="22"/>
        </w:rPr>
        <w:t>이 있어야 한다.</w:t>
      </w:r>
    </w:p>
    <w:p>
      <w:pPr>
        <w:pStyle w:val="ListBullet"/>
      </w:pPr>
      <w:r>
        <w:rPr>
          <w:rFonts w:ascii="Consolas" w:hAnsi="Consolas" w:eastAsia="Consolas"/>
          <w:color w:val="1F4D78"/>
          <w:sz w:val="20"/>
          <w:shd w:fill="EEF2F6"/>
        </w:rPr>
        <w:t>additionalProperties</w:t>
      </w:r>
      <w:r>
        <w:rPr>
          <w:rFonts w:ascii="맑은 고딕" w:hAnsi="맑은 고딕" w:eastAsia="맑은 고딕"/>
          <w:sz w:val="22"/>
        </w:rPr>
        <w:t xml:space="preserve">는 </w:t>
      </w:r>
      <w:r>
        <w:rPr>
          <w:rFonts w:ascii="Consolas" w:hAnsi="Consolas" w:eastAsia="Consolas"/>
          <w:color w:val="1F4D78"/>
          <w:sz w:val="20"/>
          <w:shd w:fill="EEF2F6"/>
        </w:rPr>
        <w:t>false</w:t>
      </w:r>
      <w:r>
        <w:rPr>
          <w:rFonts w:ascii="맑은 고딕" w:hAnsi="맑은 고딕" w:eastAsia="맑은 고딕"/>
          <w:sz w:val="22"/>
        </w:rPr>
        <w:t>이다.</w:t>
      </w:r>
    </w:p>
    <w:p>
      <w:pPr>
        <w:pStyle w:val="Heading1"/>
      </w:pPr>
      <w:r>
        <w:t>6. Input Schema 설계</w:t>
      </w:r>
    </w:p>
    <w:p>
      <w:pPr>
        <w:pStyle w:val="Heading2"/>
      </w:pPr>
      <w:r>
        <w:t>6.1 단순한 요청</w:t>
      </w:r>
    </w:p>
    <w:p>
      <w:r>
        <w:rPr>
          <w:rFonts w:ascii="맑은 고딕" w:hAnsi="맑은 고딕" w:eastAsia="맑은 고딕"/>
          <w:sz w:val="22"/>
        </w:rPr>
        <w:t xml:space="preserve">필드 수가 적고 조건이 단순하면 DTO의 </w:t>
      </w:r>
      <w:r>
        <w:rPr>
          <w:rFonts w:ascii="Consolas" w:hAnsi="Consolas" w:eastAsia="Consolas"/>
          <w:color w:val="1F4D78"/>
          <w:sz w:val="20"/>
          <w:shd w:fill="EEF2F6"/>
        </w:rPr>
        <w:t>@Schema</w:t>
      </w:r>
      <w:r>
        <w:rPr>
          <w:rFonts w:ascii="맑은 고딕" w:hAnsi="맑은 고딕" w:eastAsia="맑은 고딕"/>
          <w:sz w:val="22"/>
        </w:rPr>
        <w:t xml:space="preserve">, </w:t>
      </w:r>
      <w:r>
        <w:rPr>
          <w:rFonts w:ascii="Consolas" w:hAnsi="Consolas" w:eastAsia="Consolas"/>
          <w:color w:val="1F4D78"/>
          <w:sz w:val="20"/>
          <w:shd w:fill="EEF2F6"/>
        </w:rPr>
        <w:t>@McpToolParam</w:t>
      </w:r>
      <w:r>
        <w:rPr>
          <w:rFonts w:ascii="맑은 고딕" w:hAnsi="맑은 고딕" w:eastAsia="맑은 고딕"/>
          <w:sz w:val="22"/>
        </w:rPr>
        <w:t>과 타입 정보를 이용해 생성한다.</w:t>
      </w:r>
    </w:p>
    <w:p>
      <w:pPr>
        <w:keepLines/>
        <w:spacing w:before="60" w:after="160" w:line="240" w:lineRule="auto"/>
        <w:ind w:left="173" w:right="173"/>
        <w:shd w:fill="F5F7FA"/>
      </w:pPr>
      <w:r>
        <w:rPr>
          <w:rFonts w:ascii="Consolas" w:hAnsi="Consolas" w:eastAsia="Consolas"/>
          <w:color w:val="0B2545"/>
          <w:sz w:val="16"/>
        </w:rPr>
        <w:t>@Schema(</w:t>
        <w:br/>
      </w:r>
      <w:r>
        <w:rPr>
          <w:rFonts w:ascii="Consolas" w:hAnsi="Consolas" w:eastAsia="Consolas"/>
          <w:color w:val="0B2545"/>
          <w:sz w:val="16"/>
        </w:rPr>
        <w:t xml:space="preserve">    description = "보험금 청구번호",</w:t>
        <w:br/>
      </w:r>
      <w:r>
        <w:rPr>
          <w:rFonts w:ascii="Consolas" w:hAnsi="Consolas" w:eastAsia="Consolas"/>
          <w:color w:val="0B2545"/>
          <w:sz w:val="16"/>
        </w:rPr>
        <w:t xml:space="preserve">    example = "CLM202608100001",</w:t>
        <w:br/>
      </w:r>
      <w:r>
        <w:rPr>
          <w:rFonts w:ascii="Consolas" w:hAnsi="Consolas" w:eastAsia="Consolas"/>
          <w:color w:val="0B2545"/>
          <w:sz w:val="16"/>
        </w:rPr>
        <w:t xml:space="preserve">    requiredMode = Schema.RequiredMode.REQUIRED</w:t>
        <w:br/>
      </w:r>
      <w:r>
        <w:rPr>
          <w:rFonts w:ascii="Consolas" w:hAnsi="Consolas" w:eastAsia="Consolas"/>
          <w:color w:val="0B2545"/>
          <w:sz w:val="16"/>
        </w:rPr>
        <w:t>)</w:t>
        <w:br/>
      </w:r>
      <w:r>
        <w:rPr>
          <w:rFonts w:ascii="Consolas" w:hAnsi="Consolas" w:eastAsia="Consolas"/>
          <w:color w:val="0B2545"/>
          <w:sz w:val="16"/>
        </w:rPr>
        <w:t>private String claimNo;</w:t>
      </w:r>
    </w:p>
    <w:p>
      <w:pPr>
        <w:pStyle w:val="Heading2"/>
      </w:pPr>
      <w:r>
        <w:t>6.2 복잡한 요청</w:t>
      </w:r>
    </w:p>
    <w:p>
      <w:r>
        <w:rPr>
          <w:rFonts w:ascii="맑은 고딕" w:hAnsi="맑은 고딕" w:eastAsia="맑은 고딕"/>
          <w:sz w:val="22"/>
        </w:rPr>
        <w:t>중첩 객체, 조건부 필드, 정규식, 배열 제약처럼 복잡한 규칙은 JSON 리소스로 관리한다.</w:t>
      </w:r>
    </w:p>
    <w:p>
      <w:pPr>
        <w:keepLines/>
        <w:spacing w:before="60" w:after="160" w:line="240" w:lineRule="auto"/>
        <w:ind w:left="173" w:right="173"/>
        <w:shd w:fill="F5F7FA"/>
      </w:pPr>
      <w:r>
        <w:rPr>
          <w:rFonts w:ascii="Consolas" w:hAnsi="Consolas" w:eastAsia="Consolas"/>
          <w:color w:val="0B2545"/>
          <w:sz w:val="16"/>
        </w:rPr>
        <w:t>src/main/resources/tool-schemas/{categoryKey}/{schema-name}-input-schema.json</w:t>
      </w:r>
    </w:p>
    <w:p>
      <w:pPr>
        <w:keepLines/>
        <w:spacing w:before="60" w:after="160" w:line="240" w:lineRule="auto"/>
        <w:ind w:left="173" w:right="173"/>
        <w:shd w:fill="F5F7FA"/>
      </w:pPr>
      <w:r>
        <w:rPr>
          <w:rFonts w:ascii="Consolas" w:hAnsi="Consolas" w:eastAsia="Consolas"/>
          <w:color w:val="0B2545"/>
          <w:sz w:val="16"/>
        </w:rPr>
        <w:t>@GrowToolHint(</w:t>
        <w:br/>
      </w:r>
      <w:r>
        <w:rPr>
          <w:rFonts w:ascii="Consolas" w:hAnsi="Consolas" w:eastAsia="Consolas"/>
          <w:color w:val="0B2545"/>
          <w:sz w:val="16"/>
        </w:rPr>
        <w:t xml:space="preserve">    categoryKey = "cmm",</w:t>
        <w:br/>
      </w:r>
      <w:r>
        <w:rPr>
          <w:rFonts w:ascii="Consolas" w:hAnsi="Consolas" w:eastAsia="Consolas"/>
          <w:color w:val="0B2545"/>
          <w:sz w:val="16"/>
        </w:rPr>
        <w:t xml:space="preserve">    inputSchemaResource = "classpath:tool-schemas/cmm/claim-search-resource-input-schema.json"</w:t>
        <w:br/>
      </w:r>
      <w:r>
        <w:rPr>
          <w:rFonts w:ascii="Consolas" w:hAnsi="Consolas" w:eastAsia="Consolas"/>
          <w:color w:val="0B2545"/>
          <w:sz w:val="16"/>
        </w:rPr>
        <w:t>)</w:t>
      </w:r>
    </w:p>
    <w:p>
      <w:r>
        <w:rPr>
          <w:rFonts w:ascii="맑은 고딕" w:hAnsi="맑은 고딕" w:eastAsia="맑은 고딕"/>
          <w:sz w:val="22"/>
        </w:rPr>
        <w:t xml:space="preserve">명시한 </w:t>
      </w:r>
      <w:r>
        <w:rPr>
          <w:rFonts w:ascii="Consolas" w:hAnsi="Consolas" w:eastAsia="Consolas"/>
          <w:color w:val="1F4D78"/>
          <w:sz w:val="20"/>
          <w:shd w:fill="EEF2F6"/>
        </w:rPr>
        <w:t>inputSchemaResource</w:t>
      </w:r>
      <w:r>
        <w:rPr>
          <w:rFonts w:ascii="맑은 고딕" w:hAnsi="맑은 고딕" w:eastAsia="맑은 고딕"/>
          <w:sz w:val="22"/>
        </w:rPr>
        <w:t>가 있으면 리소스 Schema를 우선 사용한다. 리소스가 없을 때 DTO 기반 Schema를 사용한다.</w:t>
      </w:r>
    </w:p>
    <w:p>
      <w:pPr>
        <w:pStyle w:val="Heading1"/>
      </w:pPr>
      <w:r>
        <w:t>7. Output Schema 설계</w:t>
      </w:r>
    </w:p>
    <w:p>
      <w:r>
        <w:rPr>
          <w:rFonts w:ascii="맑은 고딕" w:hAnsi="맑은 고딕" w:eastAsia="맑은 고딕"/>
          <w:sz w:val="22"/>
        </w:rPr>
        <w:t xml:space="preserve">단순한 응답 DTO는 클래스에 </w:t>
      </w:r>
      <w:r>
        <w:rPr>
          <w:rFonts w:ascii="Consolas" w:hAnsi="Consolas" w:eastAsia="Consolas"/>
          <w:color w:val="1F4D78"/>
          <w:sz w:val="20"/>
          <w:shd w:fill="EEF2F6"/>
        </w:rPr>
        <w:t>@McpOutputSchema</w:t>
      </w:r>
      <w:r>
        <w:rPr>
          <w:rFonts w:ascii="맑은 고딕" w:hAnsi="맑은 고딕" w:eastAsia="맑은 고딕"/>
          <w:sz w:val="22"/>
        </w:rPr>
        <w:t>를 붙인다.</w:t>
      </w:r>
    </w:p>
    <w:p>
      <w:pPr>
        <w:keepLines/>
        <w:spacing w:before="60" w:after="160" w:line="240" w:lineRule="auto"/>
        <w:ind w:left="173" w:right="173"/>
        <w:shd w:fill="F5F7FA"/>
      </w:pPr>
      <w:r>
        <w:rPr>
          <w:rFonts w:ascii="Consolas" w:hAnsi="Consolas" w:eastAsia="Consolas"/>
          <w:color w:val="0B2545"/>
          <w:sz w:val="16"/>
        </w:rPr>
        <w:t>@McpOutputSchema</w:t>
        <w:br/>
      </w:r>
      <w:r>
        <w:rPr>
          <w:rFonts w:ascii="Consolas" w:hAnsi="Consolas" w:eastAsia="Consolas"/>
          <w:color w:val="0B2545"/>
          <w:sz w:val="16"/>
        </w:rPr>
        <w:t>public class ClaimSearchResponse {</w:t>
        <w:br/>
      </w:r>
      <w:r>
        <w:rPr>
          <w:rFonts w:ascii="Consolas" w:hAnsi="Consolas" w:eastAsia="Consolas"/>
          <w:color w:val="0B2545"/>
          <w:sz w:val="16"/>
        </w:rPr>
        <w:t xml:space="preserve">    // fields</w:t>
        <w:br/>
      </w:r>
      <w:r>
        <w:rPr>
          <w:rFonts w:ascii="Consolas" w:hAnsi="Consolas" w:eastAsia="Consolas"/>
          <w:color w:val="0B2545"/>
          <w:sz w:val="16"/>
        </w:rPr>
        <w:t>}</w:t>
      </w:r>
    </w:p>
    <w:p>
      <w:r>
        <w:rPr>
          <w:rFonts w:ascii="맑은 고딕" w:hAnsi="맑은 고딕" w:eastAsia="맑은 고딕"/>
          <w:sz w:val="22"/>
        </w:rPr>
        <w:t>복잡한 응답은 다음 리소스를 사용한다.</w:t>
      </w:r>
    </w:p>
    <w:p>
      <w:pPr>
        <w:keepLines/>
        <w:spacing w:before="60" w:after="160" w:line="240" w:lineRule="auto"/>
        <w:ind w:left="173" w:right="173"/>
        <w:shd w:fill="F5F7FA"/>
      </w:pPr>
      <w:r>
        <w:rPr>
          <w:rFonts w:ascii="Consolas" w:hAnsi="Consolas" w:eastAsia="Consolas"/>
          <w:color w:val="0B2545"/>
          <w:sz w:val="16"/>
        </w:rPr>
        <w:t>src/main/resources/tool-schemas/{categoryKey}/{schema-name}-output-schema.json</w:t>
      </w:r>
    </w:p>
    <w:p>
      <w:pPr>
        <w:keepLines/>
        <w:spacing w:before="60" w:after="160" w:line="240" w:lineRule="auto"/>
        <w:ind w:left="173" w:right="173"/>
        <w:shd w:fill="F5F7FA"/>
      </w:pPr>
      <w:r>
        <w:rPr>
          <w:rFonts w:ascii="Consolas" w:hAnsi="Consolas" w:eastAsia="Consolas"/>
          <w:color w:val="0B2545"/>
          <w:sz w:val="16"/>
        </w:rPr>
        <w:t>@GrowToolHint(</w:t>
        <w:br/>
      </w:r>
      <w:r>
        <w:rPr>
          <w:rFonts w:ascii="Consolas" w:hAnsi="Consolas" w:eastAsia="Consolas"/>
          <w:color w:val="0B2545"/>
          <w:sz w:val="16"/>
        </w:rPr>
        <w:t xml:space="preserve">    categoryKey = "cmm",</w:t>
        <w:br/>
      </w:r>
      <w:r>
        <w:rPr>
          <w:rFonts w:ascii="Consolas" w:hAnsi="Consolas" w:eastAsia="Consolas"/>
          <w:color w:val="0B2545"/>
          <w:sz w:val="16"/>
        </w:rPr>
        <w:t xml:space="preserve">    outputSchemaResource = "classpath:tool-schemas/cmm/claim-search-resource-output-schema.json"</w:t>
        <w:br/>
      </w:r>
      <w:r>
        <w:rPr>
          <w:rFonts w:ascii="Consolas" w:hAnsi="Consolas" w:eastAsia="Consolas"/>
          <w:color w:val="0B2545"/>
          <w:sz w:val="16"/>
        </w:rPr>
        <w:t>)</w:t>
      </w:r>
    </w:p>
    <w:p>
      <w:r>
        <w:rPr>
          <w:rFonts w:ascii="맑은 고딕" w:hAnsi="맑은 고딕" w:eastAsia="맑은 고딕"/>
          <w:sz w:val="22"/>
        </w:rPr>
        <w:t xml:space="preserve">우선순위는 </w:t>
      </w:r>
      <w:r>
        <w:rPr>
          <w:rFonts w:ascii="맑은 고딕" w:hAnsi="맑은 고딕" w:eastAsia="맑은 고딕"/>
          <w:b/>
          <w:sz w:val="22"/>
        </w:rPr>
        <w:t>명시 JSON 리소스 → `@McpOutputSchema` DTO 생성 → 미사용</w:t>
      </w:r>
      <w:r>
        <w:rPr>
          <w:rFonts w:ascii="맑은 고딕" w:hAnsi="맑은 고딕" w:eastAsia="맑은 고딕"/>
          <w:sz w:val="22"/>
        </w:rPr>
        <w:t xml:space="preserve"> 순서다. Output Schema를 명시한 Tool만 실행 결과를 해당 Schema로 검증한다.</w:t>
      </w:r>
    </w:p>
    <w:p>
      <w:pPr>
        <w:pStyle w:val="Heading1"/>
      </w:pPr>
      <w:r>
        <w:t>8. 응답 DTO 작성 규칙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 xml:space="preserve">코드와 라벨을 함께 제공한다: </w:t>
      </w:r>
      <w:r>
        <w:rPr>
          <w:rFonts w:ascii="Consolas" w:hAnsi="Consolas" w:eastAsia="Consolas"/>
          <w:color w:val="1F4D78"/>
          <w:sz w:val="20"/>
          <w:shd w:fill="EEF2F6"/>
        </w:rPr>
        <w:t>status</w:t>
      </w:r>
      <w:r>
        <w:rPr>
          <w:rFonts w:ascii="맑은 고딕" w:hAnsi="맑은 고딕" w:eastAsia="맑은 고딕"/>
          <w:sz w:val="22"/>
        </w:rPr>
        <w:t xml:space="preserve">, </w:t>
      </w:r>
      <w:r>
        <w:rPr>
          <w:rFonts w:ascii="Consolas" w:hAnsi="Consolas" w:eastAsia="Consolas"/>
          <w:color w:val="1F4D78"/>
          <w:sz w:val="20"/>
          <w:shd w:fill="EEF2F6"/>
        </w:rPr>
        <w:t>statusLabel</w:t>
      </w:r>
      <w:r>
        <w:rPr>
          <w:rFonts w:ascii="맑은 고딕" w:hAnsi="맑은 고딕" w:eastAsia="맑은 고딕"/>
          <w:sz w:val="22"/>
        </w:rPr>
        <w:t>.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null의 의미를 필드 설명에 명시한다: “심사 전이면 null이며 0원으로 해석하지 않는다.”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조건부 필드는 조건을 설명한다: “status가 REJECTED일 때만 값이 있다.”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배열에는 정렬 기준을 설명한다: “접수일 내림차순.”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 xml:space="preserve">결과가 잘릴 수 있으면 </w:t>
      </w:r>
      <w:r>
        <w:rPr>
          <w:rFonts w:ascii="Consolas" w:hAnsi="Consolas" w:eastAsia="Consolas"/>
          <w:color w:val="1F4D78"/>
          <w:sz w:val="20"/>
          <w:shd w:fill="EEF2F6"/>
        </w:rPr>
        <w:t>hasMore</w:t>
      </w:r>
      <w:r>
        <w:rPr>
          <w:rFonts w:ascii="맑은 고딕" w:hAnsi="맑은 고딕" w:eastAsia="맑은 고딕"/>
          <w:sz w:val="22"/>
        </w:rPr>
        <w:t xml:space="preserve"> 같은 필드를 제공한다.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민감정보는 가능한 한 응답에 포함하지 않는다. 마스킹은 생략이 불가능할 때의 보조 수단이다.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레거시 원문 응답을 그대로 반환하지 않고 Tool 응답 DTO에 필요한 값만 매핑한다.</w:t>
      </w:r>
    </w:p>
    <w:p>
      <w:r>
        <w:rPr>
          <w:rFonts w:ascii="맑은 고딕" w:hAnsi="맑은 고딕" w:eastAsia="맑은 고딕"/>
          <w:sz w:val="22"/>
        </w:rPr>
        <w:t>배열 요소가 복합 객체이면 응답 DTO 안에 의미 있는 inner class를 정의할 수 있다.</w:t>
      </w:r>
    </w:p>
    <w:p>
      <w:pPr>
        <w:keepLines/>
        <w:spacing w:before="60" w:after="160" w:line="240" w:lineRule="auto"/>
        <w:ind w:left="173" w:right="173"/>
        <w:shd w:fill="F5F7FA"/>
      </w:pPr>
      <w:r>
        <w:rPr>
          <w:rFonts w:ascii="Consolas" w:hAnsi="Consolas" w:eastAsia="Consolas"/>
          <w:color w:val="0B2545"/>
          <w:sz w:val="16"/>
        </w:rPr>
        <w:t>public class ActivityStatusResponse {</w:t>
        <w:br/>
      </w:r>
      <w:r>
        <w:rPr>
          <w:rFonts w:ascii="Consolas" w:hAnsi="Consolas" w:eastAsia="Consolas"/>
          <w:color w:val="0B2545"/>
          <w:sz w:val="16"/>
        </w:rPr>
        <w:t xml:space="preserve">    private List&lt;ActivityItem&gt; items;</w:t>
        <w:br/>
      </w:r>
      <w:r>
        <w:rPr>
          <w:rFonts w:ascii="Consolas" w:hAnsi="Consolas" w:eastAsia="Consolas"/>
          <w:color w:val="0B2545"/>
          <w:sz w:val="16"/>
        </w:rPr>
        <w:br/>
      </w:r>
      <w:r>
        <w:rPr>
          <w:rFonts w:ascii="Consolas" w:hAnsi="Consolas" w:eastAsia="Consolas"/>
          <w:color w:val="0B2545"/>
          <w:sz w:val="16"/>
        </w:rPr>
        <w:t xml:space="preserve">    public static class ActivityItem {</w:t>
        <w:br/>
      </w:r>
      <w:r>
        <w:rPr>
          <w:rFonts w:ascii="Consolas" w:hAnsi="Consolas" w:eastAsia="Consolas"/>
          <w:color w:val="0B2545"/>
          <w:sz w:val="16"/>
        </w:rPr>
        <w:t xml:space="preserve">        private String status;</w:t>
        <w:br/>
      </w:r>
      <w:r>
        <w:rPr>
          <w:rFonts w:ascii="Consolas" w:hAnsi="Consolas" w:eastAsia="Consolas"/>
          <w:color w:val="0B2545"/>
          <w:sz w:val="16"/>
        </w:rPr>
        <w:t xml:space="preserve">        private String statusLabel;</w:t>
        <w:br/>
      </w:r>
      <w:r>
        <w:rPr>
          <w:rFonts w:ascii="Consolas" w:hAnsi="Consolas" w:eastAsia="Consolas"/>
          <w:color w:val="0B2545"/>
          <w:sz w:val="16"/>
        </w:rPr>
        <w:t xml:space="preserve">    }</w:t>
        <w:br/>
      </w:r>
      <w:r>
        <w:rPr>
          <w:rFonts w:ascii="Consolas" w:hAnsi="Consolas" w:eastAsia="Consolas"/>
          <w:color w:val="0B2545"/>
          <w:sz w:val="16"/>
        </w:rPr>
        <w:t>}</w:t>
      </w:r>
    </w:p>
    <w:p>
      <w:pPr>
        <w:pStyle w:val="Heading1"/>
      </w:pPr>
      <w:r>
        <w:t>9. MCI 연동 설계</w:t>
      </w:r>
    </w:p>
    <w:p>
      <w:r>
        <w:rPr>
          <w:rFonts w:ascii="맑은 고딕" w:hAnsi="맑은 고딕" w:eastAsia="맑은 고딕"/>
          <w:sz w:val="22"/>
        </w:rPr>
        <w:t>권장 호출 흐름은 다음과 같다.</w:t>
      </w:r>
    </w:p>
    <w:p>
      <w:pPr>
        <w:keepLines/>
        <w:spacing w:before="60" w:after="160" w:line="240" w:lineRule="auto"/>
        <w:ind w:left="173" w:right="173"/>
        <w:shd w:fill="F5F7FA"/>
      </w:pPr>
      <w:r>
        <w:rPr>
          <w:rFonts w:ascii="Consolas" w:hAnsi="Consolas" w:eastAsia="Consolas"/>
          <w:color w:val="0B2545"/>
          <w:sz w:val="16"/>
        </w:rPr>
        <w:t>Tool Request</w:t>
        <w:br/>
      </w:r>
      <w:r>
        <w:rPr>
          <w:rFonts w:ascii="Consolas" w:hAnsi="Consolas" w:eastAsia="Consolas"/>
          <w:color w:val="0B2545"/>
          <w:sz w:val="16"/>
        </w:rPr>
        <w:t xml:space="preserve">  → UseCaseImpl</w:t>
        <w:br/>
      </w:r>
      <w:r>
        <w:rPr>
          <w:rFonts w:ascii="Consolas" w:hAnsi="Consolas" w:eastAsia="Consolas"/>
          <w:color w:val="0B2545"/>
          <w:sz w:val="16"/>
        </w:rPr>
        <w:t xml:space="preserve">  → Converter.toMciRequest()</w:t>
        <w:br/>
      </w:r>
      <w:r>
        <w:rPr>
          <w:rFonts w:ascii="Consolas" w:hAnsi="Consolas" w:eastAsia="Consolas"/>
          <w:color w:val="0B2545"/>
          <w:sz w:val="16"/>
        </w:rPr>
        <w:t xml:space="preserve">  → Mci{System}Client</w:t>
        <w:br/>
      </w:r>
      <w:r>
        <w:rPr>
          <w:rFonts w:ascii="Consolas" w:hAnsi="Consolas" w:eastAsia="Consolas"/>
          <w:color w:val="0B2545"/>
          <w:sz w:val="16"/>
        </w:rPr>
        <w:t xml:space="preserve">  → AxhubMciComponent</w:t>
        <w:br/>
      </w:r>
      <w:r>
        <w:rPr>
          <w:rFonts w:ascii="Consolas" w:hAnsi="Consolas" w:eastAsia="Consolas"/>
          <w:color w:val="0B2545"/>
          <w:sz w:val="16"/>
        </w:rPr>
        <w:t xml:space="preserve">  → GlowMciComponent</w:t>
        <w:br/>
      </w:r>
      <w:r>
        <w:rPr>
          <w:rFonts w:ascii="Consolas" w:hAnsi="Consolas" w:eastAsia="Consolas"/>
          <w:color w:val="0B2545"/>
          <w:sz w:val="16"/>
        </w:rPr>
        <w:t xml:space="preserve">  → Converter.toResponse()</w:t>
        <w:br/>
      </w:r>
      <w:r>
        <w:rPr>
          <w:rFonts w:ascii="Consolas" w:hAnsi="Consolas" w:eastAsia="Consolas"/>
          <w:color w:val="0B2545"/>
          <w:sz w:val="16"/>
        </w:rPr>
        <w:t xml:space="preserve">  → Tool Response</w:t>
      </w:r>
    </w:p>
    <w:p>
      <w:r>
        <w:rPr>
          <w:rFonts w:ascii="맑은 고딕" w:hAnsi="맑은 고딕" w:eastAsia="맑은 고딕"/>
          <w:sz w:val="22"/>
        </w:rPr>
        <w:t>파일 구성 예:</w:t>
      </w:r>
    </w:p>
    <w:p>
      <w:pPr>
        <w:keepLines/>
        <w:spacing w:before="60" w:after="160" w:line="240" w:lineRule="auto"/>
        <w:ind w:left="173" w:right="173"/>
        <w:shd w:fill="F5F7FA"/>
      </w:pPr>
      <w:r>
        <w:rPr>
          <w:rFonts w:ascii="Consolas" w:hAnsi="Consolas" w:eastAsia="Consolas"/>
          <w:color w:val="0B2545"/>
          <w:sz w:val="16"/>
        </w:rPr>
        <w:t>Onnba3011Request.java</w:t>
        <w:br/>
      </w:r>
      <w:r>
        <w:rPr>
          <w:rFonts w:ascii="Consolas" w:hAnsi="Consolas" w:eastAsia="Consolas"/>
          <w:color w:val="0B2545"/>
          <w:sz w:val="16"/>
        </w:rPr>
        <w:t>Onnba3011Response.java</w:t>
        <w:br/>
      </w:r>
      <w:r>
        <w:rPr>
          <w:rFonts w:ascii="Consolas" w:hAnsi="Consolas" w:eastAsia="Consolas"/>
          <w:color w:val="0B2545"/>
          <w:sz w:val="16"/>
        </w:rPr>
        <w:t>Onnba3011Converter.java</w:t>
        <w:br/>
      </w:r>
      <w:r>
        <w:rPr>
          <w:rFonts w:ascii="Consolas" w:hAnsi="Consolas" w:eastAsia="Consolas"/>
          <w:color w:val="0B2545"/>
          <w:sz w:val="16"/>
        </w:rPr>
        <w:t>Onnba3011UseCase.java</w:t>
        <w:br/>
      </w:r>
      <w:r>
        <w:rPr>
          <w:rFonts w:ascii="Consolas" w:hAnsi="Consolas" w:eastAsia="Consolas"/>
          <w:color w:val="0B2545"/>
          <w:sz w:val="16"/>
        </w:rPr>
        <w:t>Onnba3011UseCaseImpl.java</w:t>
        <w:br/>
      </w:r>
      <w:r>
        <w:rPr>
          <w:rFonts w:ascii="Consolas" w:hAnsi="Consolas" w:eastAsia="Consolas"/>
          <w:color w:val="0B2545"/>
          <w:sz w:val="16"/>
        </w:rPr>
        <w:t>MciCfpaClient.java</w:t>
        <w:br/>
      </w:r>
      <w:r>
        <w:rPr>
          <w:rFonts w:ascii="Consolas" w:hAnsi="Consolas" w:eastAsia="Consolas"/>
          <w:color w:val="0B2545"/>
          <w:sz w:val="16"/>
        </w:rPr>
        <w:t>CLCNNB00001_I.java</w:t>
        <w:br/>
      </w:r>
      <w:r>
        <w:rPr>
          <w:rFonts w:ascii="Consolas" w:hAnsi="Consolas" w:eastAsia="Consolas"/>
          <w:color w:val="0B2545"/>
          <w:sz w:val="16"/>
        </w:rPr>
        <w:t>CLCNNB00001_O.java</w:t>
      </w:r>
    </w:p>
    <w:p>
      <w:r>
        <w:rPr>
          <w:rFonts w:ascii="맑은 고딕" w:hAnsi="맑은 고딕" w:eastAsia="맑은 고딕"/>
          <w:sz w:val="22"/>
        </w:rPr>
        <w:t>UseCaseImpl에서 직접 MCI 전문 필드를 하나씩 조립하지 않는다. 변환은 Converter에 두고, MCI Client는 변환이 끝난 전문을 받는다.</w:t>
      </w:r>
    </w:p>
    <w:p>
      <w:pPr>
        <w:pStyle w:val="Heading1"/>
      </w:pPr>
      <w:r>
        <w:t>10. Glow HTTP 연동 설계</w:t>
      </w:r>
    </w:p>
    <w:p>
      <w:r>
        <w:rPr>
          <w:rFonts w:ascii="맑은 고딕" w:hAnsi="맑은 고딕" w:eastAsia="맑은 고딕"/>
          <w:sz w:val="22"/>
        </w:rPr>
        <w:t>권장 호출 흐름은 다음과 같다.</w:t>
      </w:r>
    </w:p>
    <w:p>
      <w:pPr>
        <w:keepLines/>
        <w:spacing w:before="60" w:after="160" w:line="240" w:lineRule="auto"/>
        <w:ind w:left="173" w:right="173"/>
        <w:shd w:fill="F5F7FA"/>
      </w:pPr>
      <w:r>
        <w:rPr>
          <w:rFonts w:ascii="Consolas" w:hAnsi="Consolas" w:eastAsia="Consolas"/>
          <w:color w:val="0B2545"/>
          <w:sz w:val="16"/>
        </w:rPr>
        <w:t>Tool Request</w:t>
        <w:br/>
      </w:r>
      <w:r>
        <w:rPr>
          <w:rFonts w:ascii="Consolas" w:hAnsi="Consolas" w:eastAsia="Consolas"/>
          <w:color w:val="0B2545"/>
          <w:sz w:val="16"/>
        </w:rPr>
        <w:t xml:space="preserve">  → UseCaseImpl</w:t>
        <w:br/>
      </w:r>
      <w:r>
        <w:rPr>
          <w:rFonts w:ascii="Consolas" w:hAnsi="Consolas" w:eastAsia="Consolas"/>
          <w:color w:val="0B2545"/>
          <w:sz w:val="16"/>
        </w:rPr>
        <w:t xml:space="preserve">  → Converter.toHttpRequest()</w:t>
        <w:br/>
      </w:r>
      <w:r>
        <w:rPr>
          <w:rFonts w:ascii="Consolas" w:hAnsi="Consolas" w:eastAsia="Consolas"/>
          <w:color w:val="0B2545"/>
          <w:sz w:val="16"/>
        </w:rPr>
        <w:t xml:space="preserve">  → {HttpApiName}Client</w:t>
        <w:br/>
      </w:r>
      <w:r>
        <w:rPr>
          <w:rFonts w:ascii="Consolas" w:hAnsi="Consolas" w:eastAsia="Consolas"/>
          <w:color w:val="0B2545"/>
          <w:sz w:val="16"/>
        </w:rPr>
        <w:t xml:space="preserve">  → AxhubHttpComponent</w:t>
        <w:br/>
      </w:r>
      <w:r>
        <w:rPr>
          <w:rFonts w:ascii="Consolas" w:hAnsi="Consolas" w:eastAsia="Consolas"/>
          <w:color w:val="0B2545"/>
          <w:sz w:val="16"/>
        </w:rPr>
        <w:t xml:space="preserve">  → GlowHttpComponent</w:t>
        <w:br/>
      </w:r>
      <w:r>
        <w:rPr>
          <w:rFonts w:ascii="Consolas" w:hAnsi="Consolas" w:eastAsia="Consolas"/>
          <w:color w:val="0B2545"/>
          <w:sz w:val="16"/>
        </w:rPr>
        <w:t xml:space="preserve">  → Converter.toResponse()</w:t>
        <w:br/>
      </w:r>
      <w:r>
        <w:rPr>
          <w:rFonts w:ascii="Consolas" w:hAnsi="Consolas" w:eastAsia="Consolas"/>
          <w:color w:val="0B2545"/>
          <w:sz w:val="16"/>
        </w:rPr>
        <w:t xml:space="preserve">  → Tool Response</w:t>
      </w:r>
    </w:p>
    <w:p>
      <w:r>
        <w:rPr>
          <w:rFonts w:ascii="맑은 고딕" w:hAnsi="맑은 고딕" w:eastAsia="맑은 고딕"/>
          <w:sz w:val="22"/>
        </w:rPr>
        <w:t>Client는 설정의 API 이름만 참조한다.</w:t>
      </w:r>
    </w:p>
    <w:p>
      <w:pPr>
        <w:keepLines/>
        <w:spacing w:before="60" w:after="160" w:line="240" w:lineRule="auto"/>
        <w:ind w:left="173" w:right="173"/>
        <w:shd w:fill="F5F7FA"/>
      </w:pPr>
      <w:r>
        <w:rPr>
          <w:rFonts w:ascii="Consolas" w:hAnsi="Consolas" w:eastAsia="Consolas"/>
          <w:color w:val="0B2545"/>
          <w:sz w:val="16"/>
        </w:rPr>
        <w:t>@Component</w:t>
        <w:br/>
      </w:r>
      <w:r>
        <w:rPr>
          <w:rFonts w:ascii="Consolas" w:hAnsi="Consolas" w:eastAsia="Consolas"/>
          <w:color w:val="0B2545"/>
          <w:sz w:val="16"/>
        </w:rPr>
        <w:t>@RequiredArgsConstructor</w:t>
        <w:br/>
      </w:r>
      <w:r>
        <w:rPr>
          <w:rFonts w:ascii="Consolas" w:hAnsi="Consolas" w:eastAsia="Consolas"/>
          <w:color w:val="0B2545"/>
          <w:sz w:val="16"/>
        </w:rPr>
        <w:t>public class InsuranceClient {</w:t>
        <w:br/>
      </w:r>
      <w:r>
        <w:rPr>
          <w:rFonts w:ascii="Consolas" w:hAnsi="Consolas" w:eastAsia="Consolas"/>
          <w:color w:val="0B2545"/>
          <w:sz w:val="16"/>
        </w:rPr>
        <w:t xml:space="preserve">    private static final String API_NAME = "insurance";</w:t>
        <w:br/>
      </w:r>
      <w:r>
        <w:rPr>
          <w:rFonts w:ascii="Consolas" w:hAnsi="Consolas" w:eastAsia="Consolas"/>
          <w:color w:val="0B2545"/>
          <w:sz w:val="16"/>
        </w:rPr>
        <w:t xml:space="preserve">    private final AxhubHttpComponent http;</w:t>
        <w:br/>
      </w:r>
      <w:r>
        <w:rPr>
          <w:rFonts w:ascii="Consolas" w:hAnsi="Consolas" w:eastAsia="Consolas"/>
          <w:color w:val="0B2545"/>
          <w:sz w:val="16"/>
        </w:rPr>
        <w:br/>
      </w:r>
      <w:r>
        <w:rPr>
          <w:rFonts w:ascii="Consolas" w:hAnsi="Consolas" w:eastAsia="Consolas"/>
          <w:color w:val="0B2545"/>
          <w:sz w:val="16"/>
        </w:rPr>
        <w:t xml:space="preserve">    public &lt;I, O&gt; O call(I request, Class&lt;O&gt; responseType) {</w:t>
        <w:br/>
      </w:r>
      <w:r>
        <w:rPr>
          <w:rFonts w:ascii="Consolas" w:hAnsi="Consolas" w:eastAsia="Consolas"/>
          <w:color w:val="0B2545"/>
          <w:sz w:val="16"/>
        </w:rPr>
        <w:t xml:space="preserve">        return http.call(API_NAME, request, responseType);</w:t>
        <w:br/>
      </w:r>
      <w:r>
        <w:rPr>
          <w:rFonts w:ascii="Consolas" w:hAnsi="Consolas" w:eastAsia="Consolas"/>
          <w:color w:val="0B2545"/>
          <w:sz w:val="16"/>
        </w:rPr>
        <w:t xml:space="preserve">    }</w:t>
        <w:br/>
      </w:r>
      <w:r>
        <w:rPr>
          <w:rFonts w:ascii="Consolas" w:hAnsi="Consolas" w:eastAsia="Consolas"/>
          <w:color w:val="0B2545"/>
          <w:sz w:val="16"/>
        </w:rPr>
        <w:t>}</w:t>
      </w:r>
    </w:p>
    <w:p>
      <w:r>
        <w:rPr>
          <w:rFonts w:ascii="맑은 고딕" w:hAnsi="맑은 고딕" w:eastAsia="맑은 고딕"/>
          <w:sz w:val="22"/>
        </w:rPr>
        <w:t xml:space="preserve">URL과 HTTP 메서드는 </w:t>
      </w:r>
      <w:r>
        <w:rPr>
          <w:rFonts w:ascii="Consolas" w:hAnsi="Consolas" w:eastAsia="Consolas"/>
          <w:color w:val="1F4D78"/>
          <w:sz w:val="20"/>
          <w:shd w:fill="EEF2F6"/>
        </w:rPr>
        <w:t>glow.communication.http.api-list</w:t>
      </w:r>
      <w:r>
        <w:rPr>
          <w:rFonts w:ascii="맑은 고딕" w:hAnsi="맑은 고딕" w:eastAsia="맑은 고딕"/>
          <w:sz w:val="22"/>
        </w:rPr>
        <w:t>에 정의한다.</w:t>
      </w:r>
    </w:p>
    <w:p>
      <w:pPr>
        <w:keepLines/>
        <w:spacing w:before="60" w:after="160" w:line="240" w:lineRule="auto"/>
        <w:ind w:left="173" w:right="173"/>
        <w:shd w:fill="F5F7FA"/>
      </w:pPr>
      <w:r>
        <w:rPr>
          <w:rFonts w:ascii="Consolas" w:hAnsi="Consolas" w:eastAsia="Consolas"/>
          <w:color w:val="0B2545"/>
          <w:sz w:val="16"/>
        </w:rPr>
        <w:t>glow:</w:t>
        <w:br/>
      </w:r>
      <w:r>
        <w:rPr>
          <w:rFonts w:ascii="Consolas" w:hAnsi="Consolas" w:eastAsia="Consolas"/>
          <w:color w:val="0B2545"/>
          <w:sz w:val="16"/>
        </w:rPr>
        <w:t xml:space="preserve">  communication:</w:t>
        <w:br/>
      </w:r>
      <w:r>
        <w:rPr>
          <w:rFonts w:ascii="Consolas" w:hAnsi="Consolas" w:eastAsia="Consolas"/>
          <w:color w:val="0B2545"/>
          <w:sz w:val="16"/>
        </w:rPr>
        <w:t xml:space="preserve">    http:</w:t>
        <w:br/>
      </w:r>
      <w:r>
        <w:rPr>
          <w:rFonts w:ascii="Consolas" w:hAnsi="Consolas" w:eastAsia="Consolas"/>
          <w:color w:val="0B2545"/>
          <w:sz w:val="16"/>
        </w:rPr>
        <w:t xml:space="preserve">      api-list:</w:t>
        <w:br/>
      </w:r>
      <w:r>
        <w:rPr>
          <w:rFonts w:ascii="Consolas" w:hAnsi="Consolas" w:eastAsia="Consolas"/>
          <w:color w:val="0B2545"/>
          <w:sz w:val="16"/>
        </w:rPr>
        <w:t xml:space="preserve">        - name: insurance</w:t>
        <w:br/>
      </w:r>
      <w:r>
        <w:rPr>
          <w:rFonts w:ascii="Consolas" w:hAnsi="Consolas" w:eastAsia="Consolas"/>
          <w:color w:val="0B2545"/>
          <w:sz w:val="16"/>
        </w:rPr>
        <w:t xml:space="preserve">          domain: ${AXHUB_INSURANCE_HTTP_DOMAIN:http://localhost:${server.port}}</w:t>
        <w:br/>
      </w:r>
      <w:r>
        <w:rPr>
          <w:rFonts w:ascii="Consolas" w:hAnsi="Consolas" w:eastAsia="Consolas"/>
          <w:color w:val="0B2545"/>
          <w:sz w:val="16"/>
        </w:rPr>
        <w:t xml:space="preserve">          url: ${AXHUB_INSURANCE_HTTP_URL:/api/mock/http/ins_insurance_processor}</w:t>
        <w:br/>
      </w:r>
      <w:r>
        <w:rPr>
          <w:rFonts w:ascii="Consolas" w:hAnsi="Consolas" w:eastAsia="Consolas"/>
          <w:color w:val="0B2545"/>
          <w:sz w:val="16"/>
        </w:rPr>
        <w:t xml:space="preserve">          method: POST</w:t>
        <w:br/>
      </w:r>
      <w:r>
        <w:rPr>
          <w:rFonts w:ascii="Consolas" w:hAnsi="Consolas" w:eastAsia="Consolas"/>
          <w:color w:val="0B2545"/>
          <w:sz w:val="16"/>
        </w:rPr>
        <w:t xml:space="preserve">          content-type: application/json;charset=UTF-8</w:t>
        <w:br/>
      </w:r>
      <w:r>
        <w:rPr>
          <w:rFonts w:ascii="Consolas" w:hAnsi="Consolas" w:eastAsia="Consolas"/>
          <w:color w:val="0B2545"/>
          <w:sz w:val="16"/>
        </w:rPr>
        <w:t xml:space="preserve">          biz-pod: false</w:t>
      </w:r>
    </w:p>
    <w:p>
      <w:r>
        <w:rPr>
          <w:rFonts w:ascii="Consolas" w:hAnsi="Consolas" w:eastAsia="Consolas"/>
          <w:color w:val="1F4D78"/>
          <w:sz w:val="20"/>
          <w:shd w:fill="EEF2F6"/>
        </w:rPr>
        <w:t>name</w:t>
      </w:r>
      <w:r>
        <w:rPr>
          <w:rFonts w:ascii="맑은 고딕" w:hAnsi="맑은 고딕" w:eastAsia="맑은 고딕"/>
          <w:sz w:val="22"/>
        </w:rPr>
        <w:t xml:space="preserve">은 Client의 </w:t>
      </w:r>
      <w:r>
        <w:rPr>
          <w:rFonts w:ascii="Consolas" w:hAnsi="Consolas" w:eastAsia="Consolas"/>
          <w:color w:val="1F4D78"/>
          <w:sz w:val="20"/>
          <w:shd w:fill="EEF2F6"/>
        </w:rPr>
        <w:t>API_NAME</w:t>
      </w:r>
      <w:r>
        <w:rPr>
          <w:rFonts w:ascii="맑은 고딕" w:hAnsi="맑은 고딕" w:eastAsia="맑은 고딕"/>
          <w:sz w:val="22"/>
        </w:rPr>
        <w:t>과 같아야 한다. 업무 Java 코드에는 실제 host, port, path를 하드코딩하지 않는다.</w:t>
      </w:r>
    </w:p>
    <w:p>
      <w:pPr>
        <w:pStyle w:val="Heading1"/>
      </w:pPr>
      <w:r>
        <w:t>11. 공통 헤더와 추적성</w:t>
      </w:r>
    </w:p>
    <w:p>
      <w:r>
        <w:rPr>
          <w:rFonts w:ascii="맑은 고딕" w:hAnsi="맑은 고딕" w:eastAsia="맑은 고딕"/>
          <w:sz w:val="22"/>
        </w:rPr>
        <w:t>Tool 호출 시 다음 헤더는 선택적으로 받을 수 있다.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912"/>
        <w:gridCol w:w="6448"/>
      </w:tblGrid>
      <w:tr>
        <w:trPr>
          <w:tblHeader w:val="true"/>
        </w:trPr>
        <w:tc>
          <w:tcPr>
            <w:tcW w:type="dxa" w:w="2912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color w:val="1F4D78"/>
              </w:rPr>
            </w:r>
            <w:r>
              <w:rPr>
                <w:rFonts w:ascii="맑은 고딕" w:hAnsi="맑은 고딕" w:eastAsia="맑은 고딕"/>
                <w:b/>
                <w:color w:val="1F4D78"/>
                <w:sz w:val="18"/>
              </w:rPr>
              <w:t>헤더</w:t>
            </w:r>
          </w:p>
        </w:tc>
        <w:tc>
          <w:tcPr>
            <w:tcW w:type="dxa" w:w="6448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color w:val="1F4D78"/>
              </w:rPr>
            </w:r>
            <w:r>
              <w:rPr>
                <w:rFonts w:ascii="맑은 고딕" w:hAnsi="맑은 고딕" w:eastAsia="맑은 고딕"/>
                <w:b/>
                <w:color w:val="1F4D78"/>
                <w:sz w:val="18"/>
              </w:rPr>
              <w:t>의미</w:t>
            </w:r>
          </w:p>
        </w:tc>
      </w:tr>
      <w:tr>
        <w:tc>
          <w:tcPr>
            <w:tcW w:type="dxa" w:w="291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trace-id</w:t>
            </w:r>
          </w:p>
        </w:tc>
        <w:tc>
          <w:tcPr>
            <w:tcW w:type="dxa" w:w="64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전체 업무 흐름 추적 ID. 연속 호출 동안 유지</w:t>
            </w:r>
          </w:p>
        </w:tc>
      </w:tr>
      <w:tr>
        <w:tc>
          <w:tcPr>
            <w:tcW w:type="dxa" w:w="291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request-id</w:t>
            </w:r>
          </w:p>
        </w:tc>
        <w:tc>
          <w:tcPr>
            <w:tcW w:type="dxa" w:w="64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개별 요청 ID. HTTP 호출 단위로 새 값 사용 가능</w:t>
            </w:r>
          </w:p>
        </w:tc>
      </w:tr>
      <w:tr>
        <w:tc>
          <w:tcPr>
            <w:tcW w:type="dxa" w:w="291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employee-id</w:t>
            </w:r>
          </w:p>
        </w:tc>
        <w:tc>
          <w:tcPr>
            <w:tcW w:type="dxa" w:w="64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암호화된 사번. 현재 필수 아님</w:t>
            </w:r>
          </w:p>
        </w:tc>
      </w:tr>
      <w:tr>
        <w:tc>
          <w:tcPr>
            <w:tcW w:type="dxa" w:w="291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X-Request-Id</w:t>
            </w:r>
          </w:p>
        </w:tc>
        <w:tc>
          <w:tcPr>
            <w:tcW w:type="dxa" w:w="64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호환용 요청 ID</w:t>
            </w:r>
          </w:p>
        </w:tc>
      </w:tr>
    </w:tbl>
    <w:p>
      <w:pPr>
        <w:spacing w:after="40"/>
      </w:pPr>
    </w:p>
    <w:p>
      <w:r>
        <w:rPr>
          <w:rFonts w:ascii="Consolas" w:hAnsi="Consolas" w:eastAsia="Consolas"/>
          <w:color w:val="1F4D78"/>
          <w:sz w:val="20"/>
          <w:shd w:fill="EEF2F6"/>
        </w:rPr>
        <w:t>AxhubHttpComponent</w:t>
      </w:r>
      <w:r>
        <w:rPr>
          <w:rFonts w:ascii="맑은 고딕" w:hAnsi="맑은 고딕" w:eastAsia="맑은 고딕"/>
          <w:sz w:val="22"/>
        </w:rPr>
        <w:t xml:space="preserve">는 현재 요청 Context의 </w:t>
      </w:r>
      <w:r>
        <w:rPr>
          <w:rFonts w:ascii="Consolas" w:hAnsi="Consolas" w:eastAsia="Consolas"/>
          <w:color w:val="1F4D78"/>
          <w:sz w:val="20"/>
          <w:shd w:fill="EEF2F6"/>
        </w:rPr>
        <w:t>trace-id</w:t>
      </w:r>
      <w:r>
        <w:rPr>
          <w:rFonts w:ascii="맑은 고딕" w:hAnsi="맑은 고딕" w:eastAsia="맑은 고딕"/>
          <w:sz w:val="22"/>
        </w:rPr>
        <w:t xml:space="preserve">, </w:t>
      </w:r>
      <w:r>
        <w:rPr>
          <w:rFonts w:ascii="Consolas" w:hAnsi="Consolas" w:eastAsia="Consolas"/>
          <w:color w:val="1F4D78"/>
          <w:sz w:val="20"/>
          <w:shd w:fill="EEF2F6"/>
        </w:rPr>
        <w:t>request-id</w:t>
      </w:r>
      <w:r>
        <w:rPr>
          <w:rFonts w:ascii="맑은 고딕" w:hAnsi="맑은 고딕" w:eastAsia="맑은 고딕"/>
          <w:sz w:val="22"/>
        </w:rPr>
        <w:t>, 암호화 사번을 Glow HTTP 요청 헤더로 전달한다. 민감 헤더와 DTO 원문은 일반 로그에 그대로 남기지 않는다.</w:t>
      </w:r>
    </w:p>
    <w:p>
      <w:pPr>
        <w:pStyle w:val="Heading1"/>
      </w:pPr>
      <w:r>
        <w:t>12. 빌드 시 자동 검증</w:t>
      </w:r>
    </w:p>
    <w:p>
      <w:pPr>
        <w:keepLines/>
        <w:spacing w:before="60" w:after="160" w:line="240" w:lineRule="auto"/>
        <w:ind w:left="173" w:right="173"/>
        <w:shd w:fill="F5F7FA"/>
      </w:pPr>
      <w:r>
        <w:rPr>
          <w:rFonts w:ascii="Consolas" w:hAnsi="Consolas" w:eastAsia="Consolas"/>
          <w:color w:val="0B2545"/>
          <w:sz w:val="16"/>
        </w:rPr>
        <w:t>.\gradlew.bat validateMcpToolNames</w:t>
        <w:br/>
      </w:r>
      <w:r>
        <w:rPr>
          <w:rFonts w:ascii="Consolas" w:hAnsi="Consolas" w:eastAsia="Consolas"/>
          <w:color w:val="0B2545"/>
          <w:sz w:val="16"/>
        </w:rPr>
        <w:t>.\gradlew.bat validateToolSchemaV17</w:t>
      </w:r>
    </w:p>
    <w:p>
      <w:pPr>
        <w:pStyle w:val="ListBullet"/>
      </w:pPr>
      <w:r>
        <w:rPr>
          <w:rFonts w:ascii="Consolas" w:hAnsi="Consolas" w:eastAsia="Consolas"/>
          <w:color w:val="1F4D78"/>
          <w:sz w:val="20"/>
          <w:shd w:fill="EEF2F6"/>
        </w:rPr>
        <w:t>validateMcpToolNames</w:t>
      </w:r>
      <w:r>
        <w:rPr>
          <w:rFonts w:ascii="맑은 고딕" w:hAnsi="맑은 고딕" w:eastAsia="맑은 고딕"/>
          <w:sz w:val="22"/>
        </w:rPr>
        <w:t xml:space="preserve">: 모든 Tool 모듈의 </w:t>
      </w:r>
      <w:r>
        <w:rPr>
          <w:rFonts w:ascii="Consolas" w:hAnsi="Consolas" w:eastAsia="Consolas"/>
          <w:color w:val="1F4D78"/>
          <w:sz w:val="20"/>
          <w:shd w:fill="EEF2F6"/>
        </w:rPr>
        <w:t>@McpTool(name)</w:t>
      </w:r>
      <w:r>
        <w:rPr>
          <w:rFonts w:ascii="맑은 고딕" w:hAnsi="맑은 고딕" w:eastAsia="맑은 고딕"/>
          <w:sz w:val="22"/>
        </w:rPr>
        <w:t xml:space="preserve"> 중복 검사</w:t>
      </w:r>
    </w:p>
    <w:p>
      <w:pPr>
        <w:pStyle w:val="ListBullet"/>
      </w:pPr>
      <w:r>
        <w:rPr>
          <w:rFonts w:ascii="Consolas" w:hAnsi="Consolas" w:eastAsia="Consolas"/>
          <w:color w:val="1F4D78"/>
          <w:sz w:val="20"/>
          <w:shd w:fill="EEF2F6"/>
        </w:rPr>
        <w:t>validateToolSchemaV17</w:t>
      </w:r>
      <w:r>
        <w:rPr>
          <w:rFonts w:ascii="맑은 고딕" w:hAnsi="맑은 고딕" w:eastAsia="맑은 고딕"/>
          <w:sz w:val="22"/>
        </w:rPr>
        <w:t xml:space="preserve">: </w:t>
      </w:r>
      <w:r>
        <w:rPr>
          <w:rFonts w:ascii="Consolas" w:hAnsi="Consolas" w:eastAsia="Consolas"/>
          <w:color w:val="1F4D78"/>
          <w:sz w:val="20"/>
          <w:shd w:fill="EEF2F6"/>
        </w:rPr>
        <w:t>@McpTool</w:t>
      </w:r>
      <w:r>
        <w:rPr>
          <w:rFonts w:ascii="맑은 고딕" w:hAnsi="맑은 고딕" w:eastAsia="맑은 고딕"/>
          <w:sz w:val="22"/>
        </w:rPr>
        <w:t>과 V17 정의 파일의 필수 규칙 검사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 xml:space="preserve">각 Tool Pod의 </w:t>
      </w:r>
      <w:r>
        <w:rPr>
          <w:rFonts w:ascii="Consolas" w:hAnsi="Consolas" w:eastAsia="Consolas"/>
          <w:color w:val="1F4D78"/>
          <w:sz w:val="20"/>
          <w:shd w:fill="EEF2F6"/>
        </w:rPr>
        <w:t>bootJar</w:t>
      </w:r>
      <w:r>
        <w:rPr>
          <w:rFonts w:ascii="맑은 고딕" w:hAnsi="맑은 고딕" w:eastAsia="맑은 고딕"/>
          <w:sz w:val="22"/>
        </w:rPr>
        <w:t>는 두 검증 Task에 의존하므로 오류가 있으면 배포 JAR이 생성되지 않는다.</w:t>
      </w:r>
    </w:p>
    <w:p>
      <w:pPr>
        <w:pStyle w:val="Heading1"/>
      </w:pPr>
      <w:r>
        <w:t>13. Tool 설계 완료 조건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☐ Tool명이 규칙에 맞고 중복되지 않는다.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☐ title, description, 사용/비사용 조건이 구체적이다.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☐ V17 Tool 정의 파일이 존재한다.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☐ AI DTO와 MCI·HTTP 전문 DTO가 분리되어 있다.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☐ Converter가 요청과 응답을 담당한다.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☐ endpoint와 timeout이 설정으로 분리되어 있다.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☐ Input/Output Schema의 단순·복잡 기준을 적용했다.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☐ 응답의 코드·라벨, null 의미, 조건, 배열 정렬, 잘림 여부를 설명했다.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☐ 불필요한 개인정보를 입출력에서 제거했다.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360" w:val="left"/>
      </w:tabs>
    </w:pPr>
    <w:r>
      <w:rPr>
        <w:rFonts w:ascii="맑은 고딕" w:hAnsi="맑은 고딕" w:eastAsia="맑은 고딕"/>
        <w:color w:val="667085"/>
        <w:sz w:val="17"/>
      </w:rPr>
      <w:t>Tool Pod 전용 · 내부 검토용</w:t>
    </w:r>
    <w:r>
      <w:rPr>
        <w:rFonts w:ascii="맑은 고딕" w:hAnsi="맑은 고딕" w:eastAsia="맑은 고딕"/>
        <w:color w:val="667085"/>
        <w:sz w:val="17"/>
      </w:rPr>
      <w:tab/>
    </w:r>
    <w:r>
      <w:rPr>
        <w:rFonts w:ascii="맑은 고딕" w:hAnsi="맑은 고딕" w:eastAsia="맑은 고딕"/>
        <w:color w:val="667085"/>
        <w:sz w:val="18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360" w:val="left"/>
      </w:tabs>
      <w:spacing w:after="80"/>
      <w:pBdr>
        <w:bottom w:val="single" w:sz="4" w:space="1" w:color="D7DEE8"/>
      </w:pBdr>
    </w:pPr>
    <w:r>
      <w:rPr>
        <w:rFonts w:ascii="맑은 고딕" w:hAnsi="맑은 고딕" w:eastAsia="맑은 고딕"/>
        <w:b/>
        <w:color w:val="667085"/>
        <w:sz w:val="17"/>
      </w:rPr>
      <w:t>Tool 설계 가이드</w:t>
    </w:r>
    <w:r>
      <w:rPr>
        <w:rFonts w:ascii="맑은 고딕" w:hAnsi="맑은 고딕" w:eastAsia="맑은 고딕"/>
        <w:color w:val="667085"/>
        <w:sz w:val="17"/>
      </w:rPr>
      <w:tab/>
      <w:t>AX HUB TOOL STANDARD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맑은 고딕" w:hAnsi="맑은 고딕" w:eastAsia="맑은 고딕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맑은 고딕" w:hAnsi="맑은 고딕" w:eastAsia="맑은 고딕"/>
      <w:b/>
      <w:color w:val="0B2545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360"/>
    </w:pPr>
    <w:rPr>
      <w:rFonts w:asciiTheme="majorHAnsi" w:eastAsiaTheme="majorEastAsia" w:hAnsiTheme="majorHAnsi" w:cstheme="majorBidi" w:ascii="맑은 고딕" w:hAnsi="맑은 고딕" w:eastAsia="맑은 고딕"/>
      <w:b w:val="0"/>
      <w:i/>
      <w:iCs/>
      <w:color w:val="667085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ind w:left="540" w:hanging="271"/>
      <w:contextualSpacing/>
    </w:pPr>
    <w:rPr>
      <w:rFonts w:ascii="맑은 고딕" w:hAnsi="맑은 고딕" w:eastAsia="맑은 고딕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300" w:lineRule="auto"/>
      <w:ind w:left="540" w:hanging="271"/>
      <w:contextualSpacing/>
    </w:pPr>
    <w:rPr>
      <w:rFonts w:ascii="맑은 고딕" w:hAnsi="맑은 고딕" w:eastAsia="맑은 고딕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AX HUB Tool 설계 가이드</dc:title>
  <dc:subject>AX HUB Tool 개발 표준</dc:subject>
  <dc:creator>AX HUB MCP &amp; TOOL</dc:creator>
  <cp:keywords>AX HUB, Tool Pod, MCP, Glow, MCI, HTTP</cp:keywords>
  <dc:description>Tool Pod 개발자용 문서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